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6A14C"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71552BBC" w14:textId="77777777" w:rsidTr="005F7F7E">
        <w:tc>
          <w:tcPr>
            <w:tcW w:w="2438" w:type="dxa"/>
            <w:shd w:val="clear" w:color="auto" w:fill="auto"/>
          </w:tcPr>
          <w:p w14:paraId="6696C7B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3500ED0" w14:textId="2EFB3C34" w:rsidR="00F445B1" w:rsidRPr="00F95BC9" w:rsidRDefault="00632588" w:rsidP="000A47AE">
            <w:pPr>
              <w:rPr>
                <w:rStyle w:val="Firstpagetablebold"/>
              </w:rPr>
            </w:pPr>
            <w:r>
              <w:rPr>
                <w:rStyle w:val="Firstpagetablebold"/>
              </w:rPr>
              <w:t>Cabinet</w:t>
            </w:r>
            <w:r w:rsidR="005B3C02">
              <w:rPr>
                <w:rStyle w:val="Firstpagetablebold"/>
              </w:rPr>
              <w:t xml:space="preserve"> – </w:t>
            </w:r>
            <w:r w:rsidR="005B3C02" w:rsidRPr="005B3C02">
              <w:rPr>
                <w:rStyle w:val="Firstpagetablebold"/>
              </w:rPr>
              <w:t xml:space="preserve">15 September 2021  </w:t>
            </w:r>
          </w:p>
        </w:tc>
      </w:tr>
      <w:tr w:rsidR="00CE544A" w:rsidRPr="00975B07" w14:paraId="52306519" w14:textId="77777777" w:rsidTr="005F7F7E">
        <w:tc>
          <w:tcPr>
            <w:tcW w:w="2438" w:type="dxa"/>
            <w:shd w:val="clear" w:color="auto" w:fill="auto"/>
          </w:tcPr>
          <w:p w14:paraId="6B7BB3E5" w14:textId="7EC3F1E2" w:rsidR="00F445B1" w:rsidRPr="00975B07" w:rsidRDefault="00F445B1" w:rsidP="004A6D2F">
            <w:pPr>
              <w:rPr>
                <w:rStyle w:val="Firstpagetablebold"/>
              </w:rPr>
            </w:pPr>
          </w:p>
        </w:tc>
        <w:tc>
          <w:tcPr>
            <w:tcW w:w="6406" w:type="dxa"/>
            <w:shd w:val="clear" w:color="auto" w:fill="auto"/>
          </w:tcPr>
          <w:p w14:paraId="432088E4" w14:textId="73002A57" w:rsidR="00F445B1" w:rsidRPr="001356F1" w:rsidRDefault="005B3C02" w:rsidP="000A47AE">
            <w:pPr>
              <w:rPr>
                <w:b/>
              </w:rPr>
            </w:pPr>
            <w:r>
              <w:rPr>
                <w:b/>
              </w:rPr>
              <w:t xml:space="preserve">Council – </w:t>
            </w:r>
            <w:r w:rsidR="00E94738">
              <w:rPr>
                <w:b/>
              </w:rPr>
              <w:t>0</w:t>
            </w:r>
            <w:r>
              <w:rPr>
                <w:b/>
              </w:rPr>
              <w:t>4 October 2021</w:t>
            </w:r>
          </w:p>
        </w:tc>
      </w:tr>
      <w:tr w:rsidR="00CE544A" w:rsidRPr="00975B07" w14:paraId="0B00DB0A" w14:textId="77777777" w:rsidTr="005F7F7E">
        <w:tc>
          <w:tcPr>
            <w:tcW w:w="2438" w:type="dxa"/>
            <w:shd w:val="clear" w:color="auto" w:fill="auto"/>
          </w:tcPr>
          <w:p w14:paraId="25A35AD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6E1572F" w14:textId="77777777" w:rsidR="00F445B1" w:rsidRDefault="00177372" w:rsidP="004A6D2F">
            <w:pPr>
              <w:rPr>
                <w:rStyle w:val="Firstpagetablebold"/>
              </w:rPr>
            </w:pPr>
            <w:r>
              <w:rPr>
                <w:rStyle w:val="Firstpagetablebold"/>
              </w:rPr>
              <w:t>Head of Financial Services</w:t>
            </w:r>
          </w:p>
          <w:p w14:paraId="0DDA4E77" w14:textId="77777777" w:rsidR="00177372" w:rsidRPr="001356F1" w:rsidRDefault="00177372" w:rsidP="004A6D2F">
            <w:pPr>
              <w:rPr>
                <w:rStyle w:val="Firstpagetablebold"/>
              </w:rPr>
            </w:pPr>
            <w:r>
              <w:rPr>
                <w:rStyle w:val="Firstpagetablebold"/>
              </w:rPr>
              <w:t>Head of Business Improvement</w:t>
            </w:r>
          </w:p>
        </w:tc>
      </w:tr>
      <w:tr w:rsidR="00CE544A" w:rsidRPr="00975B07" w14:paraId="24C2A334" w14:textId="77777777" w:rsidTr="005F7F7E">
        <w:tc>
          <w:tcPr>
            <w:tcW w:w="2438" w:type="dxa"/>
            <w:shd w:val="clear" w:color="auto" w:fill="auto"/>
          </w:tcPr>
          <w:p w14:paraId="3ADFBDC3"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47FC558" w14:textId="77777777" w:rsidR="00F445B1" w:rsidRPr="001356F1" w:rsidRDefault="00177372" w:rsidP="006633F1">
            <w:pPr>
              <w:rPr>
                <w:rStyle w:val="Firstpagetablebold"/>
              </w:rPr>
            </w:pPr>
            <w:r>
              <w:rPr>
                <w:rStyle w:val="Firstpagetablebold"/>
              </w:rPr>
              <w:t xml:space="preserve">Integrated </w:t>
            </w:r>
            <w:r w:rsidR="004E27A6">
              <w:rPr>
                <w:rStyle w:val="Firstpagetablebold"/>
              </w:rPr>
              <w:t>Performance Report for Q</w:t>
            </w:r>
            <w:r w:rsidR="003F50F9">
              <w:rPr>
                <w:rStyle w:val="Firstpagetablebold"/>
              </w:rPr>
              <w:t xml:space="preserve">uarter </w:t>
            </w:r>
            <w:r w:rsidR="00871859">
              <w:rPr>
                <w:rStyle w:val="Firstpagetablebold"/>
              </w:rPr>
              <w:t>1</w:t>
            </w:r>
            <w:r w:rsidR="00C00652">
              <w:rPr>
                <w:rStyle w:val="Firstpagetablebold"/>
              </w:rPr>
              <w:t xml:space="preserve"> 20</w:t>
            </w:r>
            <w:r w:rsidR="00632588">
              <w:rPr>
                <w:rStyle w:val="Firstpagetablebold"/>
              </w:rPr>
              <w:t>2</w:t>
            </w:r>
            <w:r w:rsidR="006633F1">
              <w:rPr>
                <w:rStyle w:val="Firstpagetablebold"/>
              </w:rPr>
              <w:t>1</w:t>
            </w:r>
            <w:r w:rsidR="00871859">
              <w:rPr>
                <w:rStyle w:val="Firstpagetablebold"/>
              </w:rPr>
              <w:t>/2</w:t>
            </w:r>
            <w:r w:rsidR="006633F1">
              <w:rPr>
                <w:rStyle w:val="Firstpagetablebold"/>
              </w:rPr>
              <w:t>2</w:t>
            </w:r>
          </w:p>
        </w:tc>
      </w:tr>
    </w:tbl>
    <w:p w14:paraId="59FBBA63"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37"/>
        <w:gridCol w:w="5844"/>
      </w:tblGrid>
      <w:tr w:rsidR="00D5547E" w14:paraId="54EC105A" w14:textId="77777777" w:rsidTr="008548DE">
        <w:tc>
          <w:tcPr>
            <w:tcW w:w="9170" w:type="dxa"/>
            <w:gridSpan w:val="3"/>
            <w:tcBorders>
              <w:bottom w:val="single" w:sz="8" w:space="0" w:color="000000"/>
            </w:tcBorders>
            <w:hideMark/>
          </w:tcPr>
          <w:p w14:paraId="292A402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B3B67E9" w14:textId="77777777" w:rsidTr="008548DE">
        <w:tc>
          <w:tcPr>
            <w:tcW w:w="3326" w:type="dxa"/>
            <w:gridSpan w:val="2"/>
            <w:tcBorders>
              <w:top w:val="single" w:sz="8" w:space="0" w:color="000000"/>
              <w:left w:val="single" w:sz="8" w:space="0" w:color="000000"/>
              <w:bottom w:val="nil"/>
              <w:right w:val="nil"/>
            </w:tcBorders>
            <w:hideMark/>
          </w:tcPr>
          <w:p w14:paraId="7F3C3405" w14:textId="77777777" w:rsidR="00D5547E" w:rsidRDefault="00D5547E">
            <w:pPr>
              <w:rPr>
                <w:rStyle w:val="Firstpagetablebold"/>
              </w:rPr>
            </w:pPr>
            <w:r>
              <w:rPr>
                <w:rStyle w:val="Firstpagetablebold"/>
              </w:rPr>
              <w:t>Purpose of report:</w:t>
            </w:r>
          </w:p>
        </w:tc>
        <w:tc>
          <w:tcPr>
            <w:tcW w:w="5844" w:type="dxa"/>
            <w:tcBorders>
              <w:top w:val="single" w:sz="8" w:space="0" w:color="000000"/>
              <w:left w:val="nil"/>
              <w:bottom w:val="nil"/>
              <w:right w:val="single" w:sz="8" w:space="0" w:color="000000"/>
            </w:tcBorders>
            <w:hideMark/>
          </w:tcPr>
          <w:p w14:paraId="43A4902A" w14:textId="77777777" w:rsidR="00D5547E" w:rsidRPr="001356F1" w:rsidRDefault="00A91B9B" w:rsidP="006633F1">
            <w:r>
              <w:t xml:space="preserve">To update </w:t>
            </w:r>
            <w:r w:rsidR="00BB420C">
              <w:t xml:space="preserve">the </w:t>
            </w:r>
            <w:r w:rsidR="00CF795B">
              <w:t>Cabinet</w:t>
            </w:r>
            <w:r>
              <w:t xml:space="preserve"> </w:t>
            </w:r>
            <w:r w:rsidRPr="005B020D">
              <w:rPr>
                <w:color w:val="auto"/>
              </w:rPr>
              <w:t xml:space="preserve">on Finance, Risk and </w:t>
            </w:r>
            <w:r w:rsidR="00CF795B" w:rsidRPr="005B020D">
              <w:rPr>
                <w:color w:val="auto"/>
              </w:rPr>
              <w:t xml:space="preserve">Corporate </w:t>
            </w:r>
            <w:r w:rsidRPr="005B020D">
              <w:rPr>
                <w:color w:val="auto"/>
              </w:rPr>
              <w:t>Performance</w:t>
            </w:r>
            <w:r w:rsidR="00CF795B" w:rsidRPr="005B020D">
              <w:rPr>
                <w:color w:val="auto"/>
              </w:rPr>
              <w:t xml:space="preserve"> matters</w:t>
            </w:r>
            <w:r w:rsidRPr="005B020D">
              <w:rPr>
                <w:color w:val="auto"/>
              </w:rPr>
              <w:t xml:space="preserve"> as </w:t>
            </w:r>
            <w:r>
              <w:t xml:space="preserve">at </w:t>
            </w:r>
            <w:r w:rsidR="00534A13">
              <w:t>3</w:t>
            </w:r>
            <w:r w:rsidR="00871859">
              <w:t>0</w:t>
            </w:r>
            <w:r w:rsidR="00871859" w:rsidRPr="00871859">
              <w:rPr>
                <w:vertAlign w:val="superscript"/>
              </w:rPr>
              <w:t>th</w:t>
            </w:r>
            <w:r w:rsidR="00871859">
              <w:t xml:space="preserve"> June 202</w:t>
            </w:r>
            <w:r w:rsidR="006633F1">
              <w:t>1</w:t>
            </w:r>
            <w:r w:rsidR="00964187">
              <w:t>.</w:t>
            </w:r>
          </w:p>
        </w:tc>
      </w:tr>
      <w:tr w:rsidR="00D5547E" w14:paraId="3CF5E967" w14:textId="77777777" w:rsidTr="008548DE">
        <w:tc>
          <w:tcPr>
            <w:tcW w:w="3326" w:type="dxa"/>
            <w:gridSpan w:val="2"/>
            <w:tcBorders>
              <w:top w:val="nil"/>
              <w:left w:val="single" w:sz="8" w:space="0" w:color="000000"/>
              <w:bottom w:val="nil"/>
              <w:right w:val="nil"/>
            </w:tcBorders>
            <w:hideMark/>
          </w:tcPr>
          <w:p w14:paraId="510E2884" w14:textId="77777777" w:rsidR="00D5547E" w:rsidRDefault="00D5547E">
            <w:pPr>
              <w:rPr>
                <w:rStyle w:val="Firstpagetablebold"/>
              </w:rPr>
            </w:pPr>
            <w:r>
              <w:rPr>
                <w:rStyle w:val="Firstpagetablebold"/>
              </w:rPr>
              <w:t>Key decision:</w:t>
            </w:r>
          </w:p>
        </w:tc>
        <w:tc>
          <w:tcPr>
            <w:tcW w:w="5844" w:type="dxa"/>
            <w:tcBorders>
              <w:top w:val="nil"/>
              <w:left w:val="nil"/>
              <w:bottom w:val="nil"/>
              <w:right w:val="single" w:sz="8" w:space="0" w:color="000000"/>
            </w:tcBorders>
            <w:hideMark/>
          </w:tcPr>
          <w:p w14:paraId="273525BF" w14:textId="77777777" w:rsidR="00D5547E" w:rsidRPr="001356F1" w:rsidRDefault="00177372" w:rsidP="005F7F7E">
            <w:r>
              <w:t>No</w:t>
            </w:r>
          </w:p>
        </w:tc>
      </w:tr>
      <w:tr w:rsidR="00D5547E" w14:paraId="477EAC81" w14:textId="77777777" w:rsidTr="008548DE">
        <w:tc>
          <w:tcPr>
            <w:tcW w:w="3326" w:type="dxa"/>
            <w:gridSpan w:val="2"/>
            <w:tcBorders>
              <w:top w:val="nil"/>
              <w:left w:val="single" w:sz="8" w:space="0" w:color="000000"/>
              <w:bottom w:val="nil"/>
              <w:right w:val="nil"/>
            </w:tcBorders>
            <w:hideMark/>
          </w:tcPr>
          <w:p w14:paraId="4107E62A" w14:textId="479BB2BF" w:rsidR="00D5547E" w:rsidRDefault="007F32E0">
            <w:pPr>
              <w:rPr>
                <w:rStyle w:val="Firstpagetablebold"/>
              </w:rPr>
            </w:pPr>
            <w:r>
              <w:rPr>
                <w:rStyle w:val="Firstpagetablebold"/>
              </w:rPr>
              <w:t>Cabinet</w:t>
            </w:r>
            <w:r w:rsidR="00D5547E">
              <w:rPr>
                <w:rStyle w:val="Firstpagetablebold"/>
              </w:rPr>
              <w:t xml:space="preserve"> Member:</w:t>
            </w:r>
          </w:p>
        </w:tc>
        <w:tc>
          <w:tcPr>
            <w:tcW w:w="5844" w:type="dxa"/>
            <w:tcBorders>
              <w:top w:val="nil"/>
              <w:left w:val="nil"/>
              <w:bottom w:val="nil"/>
              <w:right w:val="single" w:sz="8" w:space="0" w:color="000000"/>
            </w:tcBorders>
            <w:hideMark/>
          </w:tcPr>
          <w:p w14:paraId="6715B99D" w14:textId="57B60D03" w:rsidR="00D5547E" w:rsidRPr="001356F1" w:rsidRDefault="00D5547E" w:rsidP="00FB70AC">
            <w:r w:rsidRPr="001356F1">
              <w:t xml:space="preserve">Councillor </w:t>
            </w:r>
            <w:r w:rsidR="00FB70AC">
              <w:t>Ed Turner</w:t>
            </w:r>
            <w:r w:rsidR="008548DE">
              <w:t>, Cabinet Member for Finance and Asset Management</w:t>
            </w:r>
          </w:p>
        </w:tc>
      </w:tr>
      <w:tr w:rsidR="0080749A" w14:paraId="0C63C637" w14:textId="77777777" w:rsidTr="008548DE">
        <w:tc>
          <w:tcPr>
            <w:tcW w:w="3326" w:type="dxa"/>
            <w:gridSpan w:val="2"/>
            <w:tcBorders>
              <w:top w:val="nil"/>
              <w:left w:val="single" w:sz="8" w:space="0" w:color="000000"/>
              <w:bottom w:val="nil"/>
              <w:right w:val="nil"/>
            </w:tcBorders>
          </w:tcPr>
          <w:p w14:paraId="61AC9CFD" w14:textId="77777777" w:rsidR="0080749A" w:rsidRDefault="0080749A">
            <w:pPr>
              <w:rPr>
                <w:rStyle w:val="Firstpagetablebold"/>
              </w:rPr>
            </w:pPr>
            <w:r>
              <w:rPr>
                <w:rStyle w:val="Firstpagetablebold"/>
              </w:rPr>
              <w:t>Corporate Priority:</w:t>
            </w:r>
          </w:p>
        </w:tc>
        <w:tc>
          <w:tcPr>
            <w:tcW w:w="5844" w:type="dxa"/>
            <w:tcBorders>
              <w:top w:val="nil"/>
              <w:left w:val="nil"/>
              <w:bottom w:val="nil"/>
              <w:right w:val="single" w:sz="8" w:space="0" w:color="000000"/>
            </w:tcBorders>
          </w:tcPr>
          <w:p w14:paraId="360F84BB" w14:textId="6CED133D" w:rsidR="0080749A" w:rsidRPr="001356F1" w:rsidRDefault="008548DE" w:rsidP="005F7F7E">
            <w:r>
              <w:t>All</w:t>
            </w:r>
          </w:p>
        </w:tc>
      </w:tr>
      <w:tr w:rsidR="00D5547E" w14:paraId="10D059C5" w14:textId="77777777" w:rsidTr="008548DE">
        <w:tc>
          <w:tcPr>
            <w:tcW w:w="3326" w:type="dxa"/>
            <w:gridSpan w:val="2"/>
            <w:tcBorders>
              <w:top w:val="nil"/>
              <w:left w:val="single" w:sz="8" w:space="0" w:color="000000"/>
              <w:bottom w:val="nil"/>
              <w:right w:val="nil"/>
            </w:tcBorders>
            <w:hideMark/>
          </w:tcPr>
          <w:p w14:paraId="6AB7DC02" w14:textId="77777777" w:rsidR="00D5547E" w:rsidRDefault="00D5547E">
            <w:pPr>
              <w:rPr>
                <w:rStyle w:val="Firstpagetablebold"/>
              </w:rPr>
            </w:pPr>
            <w:r>
              <w:rPr>
                <w:rStyle w:val="Firstpagetablebold"/>
              </w:rPr>
              <w:t>Policy Framework:</w:t>
            </w:r>
          </w:p>
        </w:tc>
        <w:tc>
          <w:tcPr>
            <w:tcW w:w="5844" w:type="dxa"/>
            <w:tcBorders>
              <w:top w:val="nil"/>
              <w:left w:val="nil"/>
              <w:bottom w:val="nil"/>
              <w:right w:val="single" w:sz="8" w:space="0" w:color="000000"/>
            </w:tcBorders>
            <w:hideMark/>
          </w:tcPr>
          <w:p w14:paraId="2A802320" w14:textId="3382EF40" w:rsidR="00D5547E" w:rsidRPr="001356F1" w:rsidRDefault="00044A94" w:rsidP="008548DE">
            <w:r>
              <w:t>Co</w:t>
            </w:r>
            <w:r w:rsidR="008548DE">
              <w:t>uncil Strategy 2020-24</w:t>
            </w:r>
          </w:p>
        </w:tc>
      </w:tr>
      <w:tr w:rsidR="005F7F7E" w:rsidRPr="00975B07" w14:paraId="2B931D3F" w14:textId="77777777" w:rsidTr="008548DE">
        <w:trPr>
          <w:trHeight w:val="413"/>
        </w:trPr>
        <w:tc>
          <w:tcPr>
            <w:tcW w:w="9170" w:type="dxa"/>
            <w:gridSpan w:val="3"/>
            <w:tcBorders>
              <w:bottom w:val="single" w:sz="8" w:space="0" w:color="000000"/>
            </w:tcBorders>
          </w:tcPr>
          <w:p w14:paraId="2410978F" w14:textId="77777777" w:rsidR="005F7F7E" w:rsidRPr="00975B07" w:rsidRDefault="005F7F7E" w:rsidP="00CF795B">
            <w:r>
              <w:rPr>
                <w:rStyle w:val="Firstpagetablebold"/>
              </w:rPr>
              <w:t>Recommendation(s):</w:t>
            </w:r>
            <w:r w:rsidR="007E64F0">
              <w:rPr>
                <w:rStyle w:val="Firstpagetablebold"/>
              </w:rPr>
              <w:t xml:space="preserve"> </w:t>
            </w:r>
            <w:r>
              <w:rPr>
                <w:rStyle w:val="Firstpagetablebold"/>
              </w:rPr>
              <w:t xml:space="preserve">That the </w:t>
            </w:r>
            <w:r w:rsidR="00CF795B">
              <w:rPr>
                <w:rStyle w:val="Firstpagetablebold"/>
              </w:rPr>
              <w:t>Cabinet</w:t>
            </w:r>
            <w:r w:rsidR="00A85B0E">
              <w:rPr>
                <w:rStyle w:val="Firstpagetablebold"/>
              </w:rPr>
              <w:t xml:space="preserve"> resolves to</w:t>
            </w:r>
            <w:r>
              <w:rPr>
                <w:rStyle w:val="Firstpagetablebold"/>
              </w:rPr>
              <w:t>:</w:t>
            </w:r>
          </w:p>
        </w:tc>
      </w:tr>
      <w:tr w:rsidR="0030208D" w:rsidRPr="00975B07" w14:paraId="613661AA" w14:textId="77777777" w:rsidTr="008548DE">
        <w:trPr>
          <w:trHeight w:val="714"/>
        </w:trPr>
        <w:tc>
          <w:tcPr>
            <w:tcW w:w="1389" w:type="dxa"/>
            <w:tcBorders>
              <w:top w:val="single" w:sz="8" w:space="0" w:color="000000"/>
              <w:left w:val="single" w:sz="8" w:space="0" w:color="000000"/>
              <w:bottom w:val="single" w:sz="4" w:space="0" w:color="auto"/>
              <w:right w:val="nil"/>
            </w:tcBorders>
          </w:tcPr>
          <w:p w14:paraId="45D5BAA0" w14:textId="77777777" w:rsidR="00A85B0E" w:rsidRDefault="00A85B0E" w:rsidP="00DC1F43">
            <w:pPr>
              <w:numPr>
                <w:ilvl w:val="0"/>
                <w:numId w:val="11"/>
              </w:numPr>
              <w:spacing w:before="120" w:after="0"/>
              <w:ind w:left="318" w:firstLine="0"/>
            </w:pPr>
          </w:p>
          <w:p w14:paraId="33656391" w14:textId="77777777" w:rsidR="00A12649" w:rsidRDefault="00A12649" w:rsidP="00CF795B">
            <w:pPr>
              <w:spacing w:before="120" w:after="0"/>
            </w:pPr>
          </w:p>
          <w:p w14:paraId="53A98A8A" w14:textId="77777777" w:rsidR="001A7F68" w:rsidRPr="00975B07" w:rsidRDefault="001A7F68" w:rsidP="009B76C1">
            <w:pPr>
              <w:spacing w:before="120" w:after="0"/>
              <w:ind w:left="341"/>
            </w:pPr>
            <w:r>
              <w:t>2.</w:t>
            </w:r>
          </w:p>
        </w:tc>
        <w:tc>
          <w:tcPr>
            <w:tcW w:w="7781" w:type="dxa"/>
            <w:gridSpan w:val="2"/>
            <w:tcBorders>
              <w:top w:val="single" w:sz="8" w:space="0" w:color="000000"/>
              <w:left w:val="nil"/>
              <w:bottom w:val="single" w:sz="4" w:space="0" w:color="auto"/>
              <w:right w:val="single" w:sz="8" w:space="0" w:color="000000"/>
            </w:tcBorders>
            <w:shd w:val="clear" w:color="auto" w:fill="auto"/>
          </w:tcPr>
          <w:p w14:paraId="2A34BA4F" w14:textId="77777777" w:rsidR="00121043" w:rsidRDefault="00A85B0E" w:rsidP="00AD186F">
            <w:pPr>
              <w:spacing w:after="0"/>
            </w:pPr>
            <w:r w:rsidRPr="00121043">
              <w:rPr>
                <w:rStyle w:val="Firstpagetablebold"/>
                <w:b w:val="0"/>
              </w:rPr>
              <w:t>Note</w:t>
            </w:r>
            <w:r w:rsidRPr="007C42D2">
              <w:rPr>
                <w:rStyle w:val="Firstpagetablebold"/>
                <w:b w:val="0"/>
              </w:rPr>
              <w:t xml:space="preserve"> </w:t>
            </w:r>
            <w:r w:rsidRPr="00FB70AC">
              <w:rPr>
                <w:rStyle w:val="Firstpagetablebold"/>
                <w:b w:val="0"/>
              </w:rPr>
              <w:t>the</w:t>
            </w:r>
            <w:r>
              <w:rPr>
                <w:rStyle w:val="Firstpagetablebold"/>
                <w:b w:val="0"/>
              </w:rPr>
              <w:t xml:space="preserve"> </w:t>
            </w:r>
            <w:r w:rsidR="003F50F9">
              <w:rPr>
                <w:rStyle w:val="Firstpagetablebold"/>
                <w:b w:val="0"/>
              </w:rPr>
              <w:t>projected</w:t>
            </w:r>
            <w:r>
              <w:rPr>
                <w:rStyle w:val="Firstpagetablebold"/>
                <w:b w:val="0"/>
              </w:rPr>
              <w:t xml:space="preserve"> </w:t>
            </w:r>
            <w:r w:rsidR="003F50F9">
              <w:rPr>
                <w:rStyle w:val="Firstpagetablebold"/>
                <w:b w:val="0"/>
              </w:rPr>
              <w:t xml:space="preserve">financial </w:t>
            </w:r>
            <w:r>
              <w:rPr>
                <w:rStyle w:val="Firstpagetablebold"/>
                <w:b w:val="0"/>
              </w:rPr>
              <w:t>outturn</w:t>
            </w:r>
            <w:r w:rsidR="00CF795B">
              <w:rPr>
                <w:rStyle w:val="Firstpagetablebold"/>
                <w:b w:val="0"/>
              </w:rPr>
              <w:t xml:space="preserve"> as well as</w:t>
            </w:r>
            <w:r w:rsidR="003F50F9">
              <w:rPr>
                <w:rStyle w:val="Firstpagetablebold"/>
                <w:b w:val="0"/>
              </w:rPr>
              <w:t xml:space="preserve"> the current position </w:t>
            </w:r>
            <w:r w:rsidR="00A91B9B">
              <w:rPr>
                <w:rStyle w:val="Firstpagetablebold"/>
                <w:b w:val="0"/>
              </w:rPr>
              <w:t xml:space="preserve">on risk </w:t>
            </w:r>
            <w:r w:rsidR="00A91B9B" w:rsidRPr="005B020D">
              <w:rPr>
                <w:rStyle w:val="Firstpagetablebold"/>
                <w:b w:val="0"/>
                <w:color w:val="auto"/>
              </w:rPr>
              <w:t xml:space="preserve">and performance as </w:t>
            </w:r>
            <w:r w:rsidR="00A91B9B">
              <w:rPr>
                <w:rStyle w:val="Firstpagetablebold"/>
                <w:b w:val="0"/>
              </w:rPr>
              <w:t>at 3</w:t>
            </w:r>
            <w:r w:rsidR="00871859">
              <w:rPr>
                <w:rStyle w:val="Firstpagetablebold"/>
                <w:b w:val="0"/>
              </w:rPr>
              <w:t>0</w:t>
            </w:r>
            <w:r w:rsidR="00A91B9B">
              <w:rPr>
                <w:rStyle w:val="Firstpagetablebold"/>
                <w:b w:val="0"/>
              </w:rPr>
              <w:t xml:space="preserve"> </w:t>
            </w:r>
            <w:r w:rsidR="00871859">
              <w:rPr>
                <w:rStyle w:val="Firstpagetablebold"/>
                <w:b w:val="0"/>
              </w:rPr>
              <w:t>June 202</w:t>
            </w:r>
            <w:r w:rsidR="006633F1">
              <w:rPr>
                <w:rStyle w:val="Firstpagetablebold"/>
                <w:b w:val="0"/>
              </w:rPr>
              <w:t>1</w:t>
            </w:r>
            <w:r w:rsidR="00AD186F">
              <w:t>.</w:t>
            </w:r>
          </w:p>
          <w:p w14:paraId="43DC2AF0" w14:textId="77777777" w:rsidR="00CF795B" w:rsidRDefault="00CF795B" w:rsidP="00A0396D">
            <w:pPr>
              <w:spacing w:after="0"/>
            </w:pPr>
          </w:p>
          <w:p w14:paraId="7068028A" w14:textId="77777777" w:rsidR="00F61106" w:rsidRPr="001356F1" w:rsidRDefault="0052595A" w:rsidP="0052595A">
            <w:pPr>
              <w:spacing w:after="0"/>
            </w:pPr>
            <w:r>
              <w:t>To recommend to Council the addition of £10.0</w:t>
            </w:r>
            <w:r w:rsidR="001A7F68">
              <w:t xml:space="preserve"> million into the Capital programme as per paragraph 12.</w:t>
            </w:r>
          </w:p>
        </w:tc>
      </w:tr>
    </w:tbl>
    <w:p w14:paraId="5E698E91"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766"/>
      </w:tblGrid>
      <w:tr w:rsidR="00966D42" w:rsidRPr="00975B07" w14:paraId="1BD73F2D" w14:textId="77777777" w:rsidTr="008548DE">
        <w:tc>
          <w:tcPr>
            <w:tcW w:w="9170" w:type="dxa"/>
            <w:gridSpan w:val="2"/>
            <w:tcBorders>
              <w:top w:val="single" w:sz="8" w:space="0" w:color="000000"/>
              <w:left w:val="single" w:sz="8" w:space="0" w:color="000000"/>
              <w:bottom w:val="single" w:sz="8" w:space="0" w:color="000000"/>
              <w:right w:val="single" w:sz="8" w:space="0" w:color="000000"/>
            </w:tcBorders>
            <w:shd w:val="clear" w:color="auto" w:fill="auto"/>
          </w:tcPr>
          <w:p w14:paraId="128F3B01" w14:textId="77777777" w:rsidR="00966D42" w:rsidRPr="00975B07" w:rsidRDefault="00966D42" w:rsidP="00263EA3">
            <w:pPr>
              <w:jc w:val="center"/>
            </w:pPr>
            <w:r w:rsidRPr="00745BF0">
              <w:rPr>
                <w:rStyle w:val="Firstpagetablebold"/>
              </w:rPr>
              <w:t>Appendices</w:t>
            </w:r>
          </w:p>
        </w:tc>
      </w:tr>
      <w:tr w:rsidR="0030208D" w:rsidRPr="00975B07" w14:paraId="445CB5F5" w14:textId="77777777" w:rsidTr="008548DE">
        <w:tc>
          <w:tcPr>
            <w:tcW w:w="2404" w:type="dxa"/>
            <w:tcBorders>
              <w:top w:val="nil"/>
              <w:left w:val="single" w:sz="8" w:space="0" w:color="000000"/>
              <w:bottom w:val="single" w:sz="8" w:space="0" w:color="000000"/>
              <w:right w:val="nil"/>
            </w:tcBorders>
            <w:shd w:val="clear" w:color="auto" w:fill="auto"/>
          </w:tcPr>
          <w:p w14:paraId="50B8C0A0" w14:textId="77777777" w:rsidR="00FB70AC" w:rsidRDefault="00964187" w:rsidP="004A6D2F">
            <w:r>
              <w:t xml:space="preserve">Appendix </w:t>
            </w:r>
            <w:r w:rsidR="003F50F9">
              <w:t>A</w:t>
            </w:r>
          </w:p>
          <w:p w14:paraId="5AC2911E" w14:textId="77777777" w:rsidR="00FB70AC" w:rsidRDefault="00FD4134" w:rsidP="004A6D2F">
            <w:r>
              <w:t>Appendix B</w:t>
            </w:r>
          </w:p>
          <w:p w14:paraId="703A31DF" w14:textId="77777777" w:rsidR="00D97EBB" w:rsidRDefault="00785148" w:rsidP="008548DE">
            <w:r>
              <w:t xml:space="preserve">Appendix </w:t>
            </w:r>
            <w:r w:rsidR="001E12C0">
              <w:t>C</w:t>
            </w:r>
          </w:p>
          <w:p w14:paraId="19AD5CF7" w14:textId="03982B1B" w:rsidR="006D5DCB" w:rsidRPr="00975B07" w:rsidRDefault="006D5DCB" w:rsidP="008548DE">
            <w:r>
              <w:t>Appendix D</w:t>
            </w:r>
          </w:p>
        </w:tc>
        <w:tc>
          <w:tcPr>
            <w:tcW w:w="6766" w:type="dxa"/>
            <w:tcBorders>
              <w:top w:val="nil"/>
              <w:left w:val="nil"/>
              <w:bottom w:val="single" w:sz="8" w:space="0" w:color="000000"/>
              <w:right w:val="single" w:sz="8" w:space="0" w:color="000000"/>
            </w:tcBorders>
          </w:tcPr>
          <w:p w14:paraId="2AD42FCC" w14:textId="77777777" w:rsidR="00A91B9B" w:rsidRDefault="00A91B9B" w:rsidP="00A91B9B">
            <w:r>
              <w:t xml:space="preserve">General Fund - </w:t>
            </w:r>
            <w:r w:rsidR="006633F1">
              <w:t>June 2021</w:t>
            </w:r>
            <w:r>
              <w:t xml:space="preserve"> Forecast Outturn</w:t>
            </w:r>
          </w:p>
          <w:p w14:paraId="293A6433" w14:textId="77777777" w:rsidR="00304AD6" w:rsidRDefault="00A91B9B" w:rsidP="001E12C0">
            <w:r>
              <w:t>H</w:t>
            </w:r>
            <w:r w:rsidR="00BB420C">
              <w:t xml:space="preserve">ousing </w:t>
            </w:r>
            <w:r>
              <w:t>R</w:t>
            </w:r>
            <w:r w:rsidR="00BB420C">
              <w:t xml:space="preserve">evenue </w:t>
            </w:r>
            <w:r>
              <w:t>A</w:t>
            </w:r>
            <w:r w:rsidR="00BB420C">
              <w:t>ccount</w:t>
            </w:r>
            <w:r>
              <w:t xml:space="preserve"> - </w:t>
            </w:r>
            <w:r w:rsidR="006633F1">
              <w:t>June 2021</w:t>
            </w:r>
            <w:r>
              <w:t xml:space="preserve"> Forecast Outturn</w:t>
            </w:r>
          </w:p>
          <w:p w14:paraId="7FBA5E48" w14:textId="77777777" w:rsidR="00D97EBB" w:rsidRDefault="00FC4861" w:rsidP="008548DE">
            <w:r>
              <w:t xml:space="preserve">Capital Programme – </w:t>
            </w:r>
            <w:r w:rsidR="00871859">
              <w:t>June</w:t>
            </w:r>
            <w:r>
              <w:t xml:space="preserve"> 20</w:t>
            </w:r>
            <w:r w:rsidR="006633F1">
              <w:t>21</w:t>
            </w:r>
          </w:p>
          <w:p w14:paraId="1296F5B4" w14:textId="235D0FE5" w:rsidR="006D5DCB" w:rsidRPr="00964187" w:rsidRDefault="006D5DCB" w:rsidP="008548DE">
            <w:r>
              <w:t>Key Performance Indicators (KPIs) – June 2021</w:t>
            </w:r>
          </w:p>
        </w:tc>
      </w:tr>
    </w:tbl>
    <w:p w14:paraId="33BD615B" w14:textId="77777777" w:rsidR="0040736F" w:rsidRPr="00871859" w:rsidRDefault="00121043" w:rsidP="004A6D2F">
      <w:pPr>
        <w:pStyle w:val="Heading1"/>
        <w:rPr>
          <w:color w:val="auto"/>
        </w:rPr>
      </w:pPr>
      <w:r w:rsidRPr="00871859">
        <w:rPr>
          <w:color w:val="auto"/>
        </w:rPr>
        <w:t>I</w:t>
      </w:r>
      <w:r w:rsidR="00F66DCA" w:rsidRPr="00871859">
        <w:rPr>
          <w:color w:val="auto"/>
        </w:rPr>
        <w:t>ntroduction and b</w:t>
      </w:r>
      <w:r w:rsidR="00151888" w:rsidRPr="00871859">
        <w:rPr>
          <w:color w:val="auto"/>
        </w:rPr>
        <w:t>ackground</w:t>
      </w:r>
      <w:r w:rsidR="00404032" w:rsidRPr="00871859">
        <w:rPr>
          <w:color w:val="auto"/>
        </w:rPr>
        <w:t xml:space="preserve"> </w:t>
      </w:r>
    </w:p>
    <w:p w14:paraId="034CA260" w14:textId="77777777" w:rsidR="00FB70AC" w:rsidRPr="006633F1" w:rsidRDefault="00FB70AC" w:rsidP="00FB70AC">
      <w:pPr>
        <w:pStyle w:val="ListParagraph"/>
        <w:rPr>
          <w:color w:val="auto"/>
        </w:rPr>
      </w:pPr>
      <w:r w:rsidRPr="00871859">
        <w:rPr>
          <w:color w:val="auto"/>
        </w:rPr>
        <w:t xml:space="preserve">This report </w:t>
      </w:r>
      <w:r w:rsidR="007333C3" w:rsidRPr="00871859">
        <w:rPr>
          <w:color w:val="auto"/>
        </w:rPr>
        <w:t xml:space="preserve">updates the </w:t>
      </w:r>
      <w:r w:rsidR="00406D7A" w:rsidRPr="00871859">
        <w:rPr>
          <w:color w:val="auto"/>
        </w:rPr>
        <w:t>Cabinet</w:t>
      </w:r>
      <w:r w:rsidR="007333C3" w:rsidRPr="00871859">
        <w:rPr>
          <w:color w:val="auto"/>
        </w:rPr>
        <w:t xml:space="preserve"> on the</w:t>
      </w:r>
      <w:r w:rsidR="003F50F9" w:rsidRPr="00871859">
        <w:rPr>
          <w:color w:val="auto"/>
        </w:rPr>
        <w:t xml:space="preserve"> </w:t>
      </w:r>
      <w:r w:rsidR="003F50F9" w:rsidRPr="00F61106">
        <w:rPr>
          <w:color w:val="auto"/>
        </w:rPr>
        <w:t>financial</w:t>
      </w:r>
      <w:r w:rsidR="00A91B9B" w:rsidRPr="00F61106">
        <w:rPr>
          <w:color w:val="auto"/>
        </w:rPr>
        <w:t xml:space="preserve">, </w:t>
      </w:r>
      <w:r w:rsidR="00A91B9B" w:rsidRPr="005B020D">
        <w:rPr>
          <w:color w:val="auto"/>
        </w:rPr>
        <w:t>corporate p</w:t>
      </w:r>
      <w:r w:rsidR="007333C3" w:rsidRPr="005B020D">
        <w:rPr>
          <w:color w:val="auto"/>
        </w:rPr>
        <w:t xml:space="preserve">erformance </w:t>
      </w:r>
      <w:r w:rsidR="00A91B9B" w:rsidRPr="00871859">
        <w:rPr>
          <w:color w:val="auto"/>
        </w:rPr>
        <w:t xml:space="preserve">and corporate risk positions </w:t>
      </w:r>
      <w:r w:rsidR="007333C3" w:rsidRPr="00871859">
        <w:rPr>
          <w:color w:val="auto"/>
        </w:rPr>
        <w:t>of the Council as at 3</w:t>
      </w:r>
      <w:r w:rsidR="00871859">
        <w:rPr>
          <w:color w:val="auto"/>
        </w:rPr>
        <w:t>0</w:t>
      </w:r>
      <w:r w:rsidR="00871859" w:rsidRPr="00871859">
        <w:rPr>
          <w:color w:val="auto"/>
          <w:vertAlign w:val="superscript"/>
        </w:rPr>
        <w:t>th</w:t>
      </w:r>
      <w:r w:rsidR="00871859">
        <w:rPr>
          <w:color w:val="auto"/>
        </w:rPr>
        <w:t xml:space="preserve"> June 202</w:t>
      </w:r>
      <w:r w:rsidR="006633F1">
        <w:rPr>
          <w:color w:val="auto"/>
        </w:rPr>
        <w:t>1</w:t>
      </w:r>
      <w:r w:rsidR="007333C3" w:rsidRPr="00871859">
        <w:rPr>
          <w:color w:val="auto"/>
        </w:rPr>
        <w:t xml:space="preserve">. </w:t>
      </w:r>
      <w:r w:rsidRPr="00871859">
        <w:rPr>
          <w:color w:val="auto"/>
        </w:rPr>
        <w:t xml:space="preserve"> A brief summary is as </w:t>
      </w:r>
      <w:r w:rsidRPr="006633F1">
        <w:rPr>
          <w:color w:val="auto"/>
        </w:rPr>
        <w:t>follows:</w:t>
      </w:r>
    </w:p>
    <w:p w14:paraId="2DFDE6D6" w14:textId="77777777" w:rsidR="00FB70AC" w:rsidRPr="006633F1" w:rsidRDefault="002A15EC" w:rsidP="003976F3">
      <w:pPr>
        <w:pStyle w:val="Heading1"/>
        <w:rPr>
          <w:color w:val="auto"/>
        </w:rPr>
      </w:pPr>
      <w:r w:rsidRPr="006633F1">
        <w:rPr>
          <w:color w:val="auto"/>
        </w:rPr>
        <w:lastRenderedPageBreak/>
        <w:t xml:space="preserve">Financial </w:t>
      </w:r>
      <w:r w:rsidR="006C483B" w:rsidRPr="006633F1">
        <w:rPr>
          <w:color w:val="auto"/>
        </w:rPr>
        <w:t>Position</w:t>
      </w:r>
    </w:p>
    <w:p w14:paraId="008D6ECC" w14:textId="1BF8E034" w:rsidR="00136FB7" w:rsidRPr="00B834BD" w:rsidRDefault="00C2674F" w:rsidP="00376EE5">
      <w:pPr>
        <w:pStyle w:val="ListParagraph"/>
        <w:numPr>
          <w:ilvl w:val="1"/>
          <w:numId w:val="39"/>
        </w:numPr>
        <w:rPr>
          <w:color w:val="auto"/>
        </w:rPr>
      </w:pPr>
      <w:r w:rsidRPr="006633F1">
        <w:rPr>
          <w:rFonts w:cs="Arial"/>
          <w:b/>
          <w:color w:val="auto"/>
        </w:rPr>
        <w:t>General Fund</w:t>
      </w:r>
      <w:r w:rsidRPr="006633F1">
        <w:rPr>
          <w:rFonts w:cs="Arial"/>
          <w:color w:val="auto"/>
        </w:rPr>
        <w:t xml:space="preserve"> – </w:t>
      </w:r>
      <w:r w:rsidR="00136EB8" w:rsidRPr="006633F1">
        <w:rPr>
          <w:rFonts w:cs="Arial"/>
          <w:color w:val="auto"/>
        </w:rPr>
        <w:t>t</w:t>
      </w:r>
      <w:r w:rsidR="00360AA3" w:rsidRPr="006633F1">
        <w:rPr>
          <w:rFonts w:cs="Arial"/>
          <w:color w:val="auto"/>
        </w:rPr>
        <w:t xml:space="preserve">he </w:t>
      </w:r>
      <w:r w:rsidRPr="006633F1">
        <w:rPr>
          <w:rFonts w:cs="Arial"/>
          <w:color w:val="auto"/>
        </w:rPr>
        <w:t>outturn po</w:t>
      </w:r>
      <w:r w:rsidR="00E001B2" w:rsidRPr="006633F1">
        <w:rPr>
          <w:rFonts w:cs="Arial"/>
          <w:color w:val="auto"/>
        </w:rPr>
        <w:t xml:space="preserve">sition </w:t>
      </w:r>
      <w:r w:rsidR="00360AA3" w:rsidRPr="006633F1">
        <w:rPr>
          <w:rFonts w:cs="Arial"/>
          <w:color w:val="auto"/>
        </w:rPr>
        <w:t xml:space="preserve">is </w:t>
      </w:r>
      <w:r w:rsidR="00E141C6" w:rsidRPr="006633F1">
        <w:rPr>
          <w:rFonts w:cs="Arial"/>
          <w:color w:val="auto"/>
        </w:rPr>
        <w:t xml:space="preserve">forecast to be </w:t>
      </w:r>
      <w:r w:rsidR="006633F1" w:rsidRPr="006633F1">
        <w:rPr>
          <w:rFonts w:cs="Arial"/>
          <w:color w:val="auto"/>
        </w:rPr>
        <w:t>on budget against the net budget agreed by Council in February 2021 of £23.109 million</w:t>
      </w:r>
      <w:r w:rsidR="00E141C6" w:rsidRPr="006633F1">
        <w:rPr>
          <w:rFonts w:cs="Arial"/>
          <w:color w:val="auto"/>
        </w:rPr>
        <w:t>;</w:t>
      </w:r>
      <w:r w:rsidR="00734425">
        <w:rPr>
          <w:rFonts w:cs="Arial"/>
          <w:color w:val="auto"/>
        </w:rPr>
        <w:t xml:space="preserve"> it should be noted this includes £</w:t>
      </w:r>
      <w:r w:rsidR="00DD4470">
        <w:rPr>
          <w:rFonts w:cs="Arial"/>
          <w:color w:val="auto"/>
        </w:rPr>
        <w:t>2.1million</w:t>
      </w:r>
      <w:r w:rsidR="00734425">
        <w:rPr>
          <w:rFonts w:cs="Arial"/>
          <w:color w:val="auto"/>
        </w:rPr>
        <w:t xml:space="preserve"> of </w:t>
      </w:r>
      <w:r w:rsidR="00DD4470">
        <w:rPr>
          <w:rFonts w:cs="Arial"/>
          <w:color w:val="auto"/>
        </w:rPr>
        <w:t xml:space="preserve">income </w:t>
      </w:r>
      <w:r w:rsidR="00734425">
        <w:rPr>
          <w:rFonts w:cs="Arial"/>
          <w:color w:val="auto"/>
        </w:rPr>
        <w:t xml:space="preserve">losses </w:t>
      </w:r>
      <w:r w:rsidR="00DD4470">
        <w:rPr>
          <w:rFonts w:cs="Arial"/>
          <w:color w:val="auto"/>
        </w:rPr>
        <w:t xml:space="preserve">already factored into the budget </w:t>
      </w:r>
      <w:r w:rsidR="00734425">
        <w:rPr>
          <w:rFonts w:cs="Arial"/>
          <w:color w:val="auto"/>
        </w:rPr>
        <w:t xml:space="preserve">due to </w:t>
      </w:r>
      <w:r w:rsidR="00DD4470">
        <w:rPr>
          <w:rFonts w:cs="Arial"/>
          <w:color w:val="auto"/>
        </w:rPr>
        <w:t xml:space="preserve">the continuing impacts from </w:t>
      </w:r>
      <w:proofErr w:type="spellStart"/>
      <w:r w:rsidR="00734425">
        <w:rPr>
          <w:rFonts w:cs="Arial"/>
          <w:color w:val="auto"/>
        </w:rPr>
        <w:t>Covid</w:t>
      </w:r>
      <w:proofErr w:type="spellEnd"/>
      <w:r w:rsidR="00734425" w:rsidRPr="00B834BD">
        <w:rPr>
          <w:rFonts w:cs="Arial"/>
          <w:color w:val="auto"/>
        </w:rPr>
        <w:t>.</w:t>
      </w:r>
      <w:r w:rsidR="00B834BD" w:rsidRPr="00B834BD">
        <w:rPr>
          <w:rFonts w:cs="Arial"/>
          <w:color w:val="auto"/>
        </w:rPr>
        <w:t xml:space="preserve"> In setting its Budget for 2021-22 and Medium Term Financial Plan at Council in February 2021 the Council was required to draw on £11.3 million of reserves to balance the budget over the medium term as well as reduce expenditure and seek further efficiencies and increased revenue especially form its wholly owned companies to cover reduced income and increased cost arising from the pandemic. Whilst some provision has been made in the MTFP for reduced income streams in future years, the indication is that around some income streams such as car parking this may be insufficient, although this assertion is only based on the first 3 months data.</w:t>
      </w:r>
    </w:p>
    <w:p w14:paraId="4CE0446D" w14:textId="77777777" w:rsidR="001121C1" w:rsidRPr="006633F1" w:rsidRDefault="00C2674F" w:rsidP="00376EE5">
      <w:pPr>
        <w:pStyle w:val="ListParagraph"/>
        <w:numPr>
          <w:ilvl w:val="1"/>
          <w:numId w:val="39"/>
        </w:numPr>
        <w:rPr>
          <w:color w:val="auto"/>
        </w:rPr>
      </w:pPr>
      <w:r w:rsidRPr="006633F1">
        <w:rPr>
          <w:rFonts w:cs="Arial"/>
          <w:b/>
          <w:color w:val="auto"/>
        </w:rPr>
        <w:t>Housing Revenue Account</w:t>
      </w:r>
      <w:r w:rsidRPr="006633F1">
        <w:rPr>
          <w:rFonts w:cs="Arial"/>
          <w:color w:val="auto"/>
        </w:rPr>
        <w:t xml:space="preserve"> – </w:t>
      </w:r>
      <w:r w:rsidR="00ED108A" w:rsidRPr="006633F1">
        <w:rPr>
          <w:rFonts w:cs="Arial"/>
          <w:color w:val="auto"/>
        </w:rPr>
        <w:t xml:space="preserve">The budgeted surplus agreed </w:t>
      </w:r>
      <w:r w:rsidR="00406D7A" w:rsidRPr="006633F1">
        <w:rPr>
          <w:rFonts w:cs="Arial"/>
          <w:color w:val="auto"/>
        </w:rPr>
        <w:t>by the</w:t>
      </w:r>
      <w:r w:rsidR="00ED108A" w:rsidRPr="006633F1">
        <w:rPr>
          <w:rFonts w:cs="Arial"/>
          <w:color w:val="auto"/>
        </w:rPr>
        <w:t xml:space="preserve"> Council in F</w:t>
      </w:r>
      <w:r w:rsidR="00AB6B54" w:rsidRPr="006633F1">
        <w:rPr>
          <w:rFonts w:cs="Arial"/>
          <w:color w:val="auto"/>
        </w:rPr>
        <w:t>ebruary 20</w:t>
      </w:r>
      <w:r w:rsidR="006633F1">
        <w:rPr>
          <w:rFonts w:cs="Arial"/>
          <w:color w:val="auto"/>
        </w:rPr>
        <w:t>21</w:t>
      </w:r>
      <w:r w:rsidR="00AB6B54" w:rsidRPr="006633F1">
        <w:rPr>
          <w:rFonts w:cs="Arial"/>
          <w:color w:val="auto"/>
        </w:rPr>
        <w:t xml:space="preserve"> was £0.</w:t>
      </w:r>
      <w:r w:rsidR="006633F1" w:rsidRPr="006633F1">
        <w:rPr>
          <w:rFonts w:cs="Arial"/>
          <w:color w:val="auto"/>
        </w:rPr>
        <w:t>388</w:t>
      </w:r>
      <w:r w:rsidR="00AB6B54" w:rsidRPr="006633F1">
        <w:rPr>
          <w:rFonts w:cs="Arial"/>
          <w:color w:val="auto"/>
        </w:rPr>
        <w:t xml:space="preserve"> million.</w:t>
      </w:r>
      <w:r w:rsidR="00251AD9" w:rsidRPr="006633F1">
        <w:rPr>
          <w:rFonts w:cs="Arial"/>
          <w:color w:val="auto"/>
        </w:rPr>
        <w:t xml:space="preserve">  </w:t>
      </w:r>
      <w:r w:rsidR="00ED108A" w:rsidRPr="006633F1">
        <w:rPr>
          <w:rFonts w:cs="Arial"/>
          <w:color w:val="auto"/>
        </w:rPr>
        <w:t xml:space="preserve">The </w:t>
      </w:r>
      <w:r w:rsidR="00B83F15">
        <w:rPr>
          <w:rFonts w:cs="Arial"/>
          <w:color w:val="auto"/>
        </w:rPr>
        <w:t xml:space="preserve">forecast </w:t>
      </w:r>
      <w:r w:rsidR="00136EB8" w:rsidRPr="006633F1">
        <w:rPr>
          <w:rFonts w:cs="Arial"/>
          <w:color w:val="auto"/>
        </w:rPr>
        <w:t xml:space="preserve">outturn position </w:t>
      </w:r>
      <w:r w:rsidR="00B83F15">
        <w:rPr>
          <w:rFonts w:cs="Arial"/>
          <w:color w:val="auto"/>
        </w:rPr>
        <w:t>indicates</w:t>
      </w:r>
      <w:r w:rsidR="00136EB8" w:rsidRPr="006633F1">
        <w:rPr>
          <w:rFonts w:cs="Arial"/>
          <w:color w:val="auto"/>
        </w:rPr>
        <w:t xml:space="preserve"> </w:t>
      </w:r>
      <w:r w:rsidR="00B83F15">
        <w:rPr>
          <w:rFonts w:cs="Arial"/>
          <w:color w:val="auto"/>
        </w:rPr>
        <w:t xml:space="preserve">a surplus of </w:t>
      </w:r>
      <w:r w:rsidR="006633F1" w:rsidRPr="006633F1">
        <w:rPr>
          <w:rFonts w:cs="Arial"/>
          <w:color w:val="auto"/>
        </w:rPr>
        <w:t>£0.359 million</w:t>
      </w:r>
      <w:r w:rsidR="00B83F15">
        <w:rPr>
          <w:rFonts w:cs="Arial"/>
          <w:color w:val="auto"/>
        </w:rPr>
        <w:t>,</w:t>
      </w:r>
      <w:r w:rsidR="006633F1" w:rsidRPr="006633F1">
        <w:rPr>
          <w:rFonts w:cs="Arial"/>
          <w:color w:val="auto"/>
        </w:rPr>
        <w:t xml:space="preserve"> which is a  small </w:t>
      </w:r>
      <w:r w:rsidR="00251AD9" w:rsidRPr="006633F1">
        <w:rPr>
          <w:rFonts w:cs="Arial"/>
          <w:color w:val="auto"/>
        </w:rPr>
        <w:t>adverse</w:t>
      </w:r>
      <w:r w:rsidR="00B80C36" w:rsidRPr="006633F1">
        <w:rPr>
          <w:rFonts w:cs="Arial"/>
          <w:color w:val="auto"/>
        </w:rPr>
        <w:t xml:space="preserve"> </w:t>
      </w:r>
      <w:r w:rsidR="00F1786A" w:rsidRPr="006633F1">
        <w:rPr>
          <w:rFonts w:cs="Arial"/>
          <w:color w:val="auto"/>
        </w:rPr>
        <w:t>variance</w:t>
      </w:r>
      <w:r w:rsidR="003B0A0D" w:rsidRPr="006633F1">
        <w:rPr>
          <w:rFonts w:cs="Arial"/>
          <w:color w:val="auto"/>
        </w:rPr>
        <w:t xml:space="preserve"> </w:t>
      </w:r>
      <w:r w:rsidR="00294DDB" w:rsidRPr="006633F1">
        <w:rPr>
          <w:rFonts w:cs="Arial"/>
          <w:color w:val="auto"/>
        </w:rPr>
        <w:t>of £</w:t>
      </w:r>
      <w:r w:rsidR="006633F1" w:rsidRPr="006633F1">
        <w:rPr>
          <w:rFonts w:cs="Arial"/>
          <w:color w:val="auto"/>
        </w:rPr>
        <w:t xml:space="preserve">0.029 </w:t>
      </w:r>
      <w:r w:rsidR="00251AD9" w:rsidRPr="006633F1">
        <w:rPr>
          <w:rFonts w:cs="Arial"/>
          <w:color w:val="auto"/>
        </w:rPr>
        <w:t>million</w:t>
      </w:r>
      <w:r w:rsidR="00AF7E6D" w:rsidRPr="006633F1">
        <w:rPr>
          <w:rFonts w:cs="Arial"/>
          <w:color w:val="auto"/>
        </w:rPr>
        <w:t>;</w:t>
      </w:r>
      <w:r w:rsidR="00136EB8" w:rsidRPr="006633F1">
        <w:rPr>
          <w:rFonts w:cs="Arial"/>
          <w:color w:val="auto"/>
        </w:rPr>
        <w:t xml:space="preserve"> </w:t>
      </w:r>
    </w:p>
    <w:p w14:paraId="52ADEBE7" w14:textId="77777777" w:rsidR="00251AD9" w:rsidRPr="00686C24" w:rsidRDefault="00EA78BE" w:rsidP="00376EE5">
      <w:pPr>
        <w:pStyle w:val="ListParagraph"/>
        <w:numPr>
          <w:ilvl w:val="1"/>
          <w:numId w:val="39"/>
        </w:numPr>
        <w:rPr>
          <w:color w:val="auto"/>
        </w:rPr>
      </w:pPr>
      <w:r w:rsidRPr="006633F1">
        <w:rPr>
          <w:rFonts w:cs="Arial"/>
          <w:b/>
          <w:color w:val="auto"/>
        </w:rPr>
        <w:t>Capital Programme</w:t>
      </w:r>
      <w:r w:rsidRPr="006633F1">
        <w:rPr>
          <w:rFonts w:cs="Arial"/>
          <w:color w:val="auto"/>
        </w:rPr>
        <w:t xml:space="preserve"> – </w:t>
      </w:r>
      <w:r w:rsidR="00CD211A" w:rsidRPr="006633F1">
        <w:rPr>
          <w:color w:val="auto"/>
        </w:rPr>
        <w:t>The budget, as approved at Council in Feb</w:t>
      </w:r>
      <w:r w:rsidR="00406D7A" w:rsidRPr="006633F1">
        <w:rPr>
          <w:color w:val="auto"/>
        </w:rPr>
        <w:t>ruary</w:t>
      </w:r>
      <w:r w:rsidR="00251AD9" w:rsidRPr="006633F1">
        <w:rPr>
          <w:color w:val="auto"/>
        </w:rPr>
        <w:t xml:space="preserve"> 202</w:t>
      </w:r>
      <w:r w:rsidR="006633F1" w:rsidRPr="006633F1">
        <w:rPr>
          <w:color w:val="auto"/>
        </w:rPr>
        <w:t>1</w:t>
      </w:r>
      <w:r w:rsidR="00251AD9" w:rsidRPr="006633F1">
        <w:rPr>
          <w:color w:val="auto"/>
        </w:rPr>
        <w:t>, was set at £1</w:t>
      </w:r>
      <w:r w:rsidR="006633F1" w:rsidRPr="006633F1">
        <w:rPr>
          <w:color w:val="auto"/>
        </w:rPr>
        <w:t>86</w:t>
      </w:r>
      <w:r w:rsidR="00251AD9" w:rsidRPr="006633F1">
        <w:rPr>
          <w:color w:val="auto"/>
        </w:rPr>
        <w:t>.</w:t>
      </w:r>
      <w:r w:rsidR="006633F1" w:rsidRPr="006633F1">
        <w:rPr>
          <w:color w:val="auto"/>
        </w:rPr>
        <w:t>309</w:t>
      </w:r>
      <w:r w:rsidR="00CD211A" w:rsidRPr="006633F1">
        <w:rPr>
          <w:color w:val="auto"/>
        </w:rPr>
        <w:t xml:space="preserve"> million</w:t>
      </w:r>
      <w:r w:rsidR="00476CDE" w:rsidRPr="006633F1">
        <w:rPr>
          <w:color w:val="auto"/>
        </w:rPr>
        <w:t xml:space="preserve"> with </w:t>
      </w:r>
      <w:r w:rsidR="009477B5" w:rsidRPr="006633F1">
        <w:rPr>
          <w:color w:val="auto"/>
        </w:rPr>
        <w:t>carry forward</w:t>
      </w:r>
      <w:r w:rsidR="00476CDE" w:rsidRPr="006633F1">
        <w:rPr>
          <w:color w:val="auto"/>
        </w:rPr>
        <w:t xml:space="preserve"> of unspent balances in 20</w:t>
      </w:r>
      <w:r w:rsidR="006633F1" w:rsidRPr="006633F1">
        <w:rPr>
          <w:color w:val="auto"/>
        </w:rPr>
        <w:t>20-21</w:t>
      </w:r>
      <w:r w:rsidR="00476CDE" w:rsidRPr="006633F1">
        <w:rPr>
          <w:color w:val="auto"/>
        </w:rPr>
        <w:t xml:space="preserve"> this was </w:t>
      </w:r>
      <w:r w:rsidR="009477B5" w:rsidRPr="006633F1">
        <w:rPr>
          <w:color w:val="auto"/>
        </w:rPr>
        <w:t xml:space="preserve">subsequently revised to </w:t>
      </w:r>
      <w:r w:rsidR="006633F1" w:rsidRPr="006633F1">
        <w:rPr>
          <w:color w:val="auto"/>
        </w:rPr>
        <w:t xml:space="preserve">the latest budget of </w:t>
      </w:r>
      <w:r w:rsidR="009477B5" w:rsidRPr="006633F1">
        <w:rPr>
          <w:color w:val="auto"/>
        </w:rPr>
        <w:t>£</w:t>
      </w:r>
      <w:r w:rsidR="006633F1" w:rsidRPr="006633F1">
        <w:rPr>
          <w:color w:val="auto"/>
        </w:rPr>
        <w:t>203.607</w:t>
      </w:r>
      <w:r w:rsidR="009477B5" w:rsidRPr="006633F1">
        <w:rPr>
          <w:color w:val="auto"/>
        </w:rPr>
        <w:t xml:space="preserve"> million</w:t>
      </w:r>
      <w:r w:rsidR="00376EE5" w:rsidRPr="006633F1">
        <w:rPr>
          <w:color w:val="auto"/>
        </w:rPr>
        <w:t xml:space="preserve">.  </w:t>
      </w:r>
      <w:r w:rsidR="00251AD9" w:rsidRPr="006633F1">
        <w:rPr>
          <w:color w:val="auto"/>
        </w:rPr>
        <w:t xml:space="preserve">  The outturn forecast position is </w:t>
      </w:r>
      <w:r w:rsidR="006633F1" w:rsidRPr="006633F1">
        <w:rPr>
          <w:color w:val="auto"/>
        </w:rPr>
        <w:t>currently</w:t>
      </w:r>
      <w:r w:rsidR="00251AD9" w:rsidRPr="006633F1">
        <w:rPr>
          <w:color w:val="auto"/>
        </w:rPr>
        <w:t xml:space="preserve"> £</w:t>
      </w:r>
      <w:r w:rsidR="006633F1" w:rsidRPr="006633F1">
        <w:rPr>
          <w:color w:val="auto"/>
        </w:rPr>
        <w:t>190.939</w:t>
      </w:r>
      <w:r w:rsidR="00251AD9" w:rsidRPr="006633F1">
        <w:rPr>
          <w:color w:val="auto"/>
        </w:rPr>
        <w:t xml:space="preserve"> million</w:t>
      </w:r>
      <w:r w:rsidR="00175CC5" w:rsidRPr="006633F1">
        <w:rPr>
          <w:color w:val="auto"/>
        </w:rPr>
        <w:t xml:space="preserve"> with </w:t>
      </w:r>
      <w:r w:rsidR="006633F1" w:rsidRPr="006633F1">
        <w:rPr>
          <w:color w:val="auto"/>
        </w:rPr>
        <w:t xml:space="preserve">a total variance of £12.668 million made up of </w:t>
      </w:r>
      <w:r w:rsidR="00251AD9" w:rsidRPr="006633F1">
        <w:rPr>
          <w:color w:val="auto"/>
        </w:rPr>
        <w:t>slippage of £</w:t>
      </w:r>
      <w:r w:rsidR="006633F1" w:rsidRPr="006633F1">
        <w:rPr>
          <w:color w:val="auto"/>
        </w:rPr>
        <w:t>8.668</w:t>
      </w:r>
      <w:r w:rsidR="00251AD9" w:rsidRPr="006633F1">
        <w:rPr>
          <w:color w:val="auto"/>
        </w:rPr>
        <w:t xml:space="preserve"> million</w:t>
      </w:r>
      <w:r w:rsidR="00175CC5" w:rsidRPr="006633F1">
        <w:rPr>
          <w:color w:val="auto"/>
        </w:rPr>
        <w:t xml:space="preserve"> </w:t>
      </w:r>
      <w:r w:rsidR="006633F1" w:rsidRPr="006633F1">
        <w:rPr>
          <w:color w:val="auto"/>
        </w:rPr>
        <w:t>and £4.0 million of underspend.</w:t>
      </w:r>
    </w:p>
    <w:p w14:paraId="753FEE35" w14:textId="04AF65A6" w:rsidR="00C2674F" w:rsidRPr="006633F1" w:rsidRDefault="00C2674F" w:rsidP="00FB70AC">
      <w:pPr>
        <w:pStyle w:val="ListParagraph"/>
        <w:rPr>
          <w:color w:val="FF0000"/>
        </w:rPr>
      </w:pPr>
      <w:r w:rsidRPr="00686C24">
        <w:rPr>
          <w:rStyle w:val="Heading1Char"/>
          <w:color w:val="auto"/>
        </w:rPr>
        <w:t xml:space="preserve">Performance </w:t>
      </w:r>
      <w:r w:rsidR="00D45E2B" w:rsidRPr="00686C24">
        <w:rPr>
          <w:color w:val="auto"/>
        </w:rPr>
        <w:t>–</w:t>
      </w:r>
      <w:r w:rsidR="002E6433" w:rsidRPr="00686C24">
        <w:rPr>
          <w:rFonts w:eastAsia="Calibri" w:cs="Arial"/>
          <w:color w:val="auto"/>
        </w:rPr>
        <w:t xml:space="preserve"> There are 24 Corporate Indicators for the current financial year, 13 of whic</w:t>
      </w:r>
      <w:r w:rsidR="00B834BD">
        <w:rPr>
          <w:rFonts w:eastAsia="Calibri" w:cs="Arial"/>
          <w:color w:val="auto"/>
        </w:rPr>
        <w:t>h are rated Green (on target); 5</w:t>
      </w:r>
      <w:r w:rsidR="002E6433" w:rsidRPr="00686C24">
        <w:rPr>
          <w:rFonts w:eastAsia="Calibri" w:cs="Arial"/>
          <w:color w:val="auto"/>
        </w:rPr>
        <w:t xml:space="preserve"> are rated Amber (within a t</w:t>
      </w:r>
      <w:r w:rsidR="00B834BD">
        <w:rPr>
          <w:rFonts w:eastAsia="Calibri" w:cs="Arial"/>
          <w:color w:val="auto"/>
        </w:rPr>
        <w:t>olerance of target) and 1</w:t>
      </w:r>
      <w:r w:rsidR="002E6433" w:rsidRPr="00686C24">
        <w:rPr>
          <w:rFonts w:eastAsia="Calibri" w:cs="Arial"/>
          <w:color w:val="auto"/>
        </w:rPr>
        <w:t xml:space="preserve"> </w:t>
      </w:r>
      <w:r w:rsidR="00B834BD">
        <w:rPr>
          <w:rFonts w:eastAsia="Calibri" w:cs="Arial"/>
          <w:color w:val="auto"/>
        </w:rPr>
        <w:t>is</w:t>
      </w:r>
      <w:r w:rsidR="002E6433" w:rsidRPr="00686C24">
        <w:rPr>
          <w:rFonts w:eastAsia="Calibri" w:cs="Arial"/>
          <w:color w:val="auto"/>
        </w:rPr>
        <w:t xml:space="preserve"> rated Red (outside of target), there are also 5 indicators that are unrated</w:t>
      </w:r>
      <w:r w:rsidR="003763B6" w:rsidRPr="00686C24">
        <w:rPr>
          <w:rFonts w:eastAsia="Calibri" w:cs="Arial"/>
          <w:color w:val="auto"/>
        </w:rPr>
        <w:t xml:space="preserve"> due to either no data being available or no comparable data from previous year to rate against.  More de</w:t>
      </w:r>
      <w:r w:rsidR="00686C24" w:rsidRPr="00686C24">
        <w:rPr>
          <w:rFonts w:eastAsia="Calibri" w:cs="Arial"/>
          <w:color w:val="auto"/>
        </w:rPr>
        <w:t>tails can be found in paragraph 15.</w:t>
      </w:r>
      <w:r w:rsidR="003763B6">
        <w:rPr>
          <w:rFonts w:eastAsia="Calibri" w:cs="Arial"/>
          <w:color w:val="FF0000"/>
        </w:rPr>
        <w:t xml:space="preserve"> </w:t>
      </w:r>
    </w:p>
    <w:p w14:paraId="30A259AC" w14:textId="42972348" w:rsidR="00C2674F" w:rsidRPr="006633F1" w:rsidRDefault="006C483B" w:rsidP="00FB70AC">
      <w:pPr>
        <w:pStyle w:val="ListParagraph"/>
        <w:rPr>
          <w:color w:val="FF0000"/>
        </w:rPr>
      </w:pPr>
      <w:r w:rsidRPr="00630C9F">
        <w:rPr>
          <w:rFonts w:cs="Arial"/>
          <w:b/>
          <w:color w:val="auto"/>
        </w:rPr>
        <w:t xml:space="preserve">Corporate </w:t>
      </w:r>
      <w:r w:rsidR="00C2674F" w:rsidRPr="00630C9F">
        <w:rPr>
          <w:rFonts w:cs="Arial"/>
          <w:b/>
          <w:color w:val="auto"/>
        </w:rPr>
        <w:t>Risk Management</w:t>
      </w:r>
      <w:r w:rsidR="00650642" w:rsidRPr="00630C9F">
        <w:rPr>
          <w:rFonts w:cs="Arial"/>
          <w:color w:val="auto"/>
        </w:rPr>
        <w:t xml:space="preserve"> – There </w:t>
      </w:r>
      <w:r w:rsidR="00251AD9" w:rsidRPr="00630C9F">
        <w:rPr>
          <w:rFonts w:cs="Arial"/>
          <w:color w:val="auto"/>
        </w:rPr>
        <w:t xml:space="preserve">are </w:t>
      </w:r>
      <w:r w:rsidR="00B834BD">
        <w:rPr>
          <w:rFonts w:cs="Arial"/>
          <w:color w:val="auto"/>
        </w:rPr>
        <w:t>two</w:t>
      </w:r>
      <w:r w:rsidR="00E72133" w:rsidRPr="00630C9F">
        <w:rPr>
          <w:rFonts w:cs="Arial"/>
          <w:color w:val="auto"/>
        </w:rPr>
        <w:t xml:space="preserve"> </w:t>
      </w:r>
      <w:r w:rsidR="000119EC" w:rsidRPr="00630C9F">
        <w:rPr>
          <w:rFonts w:cs="Arial"/>
          <w:color w:val="auto"/>
        </w:rPr>
        <w:t xml:space="preserve">red </w:t>
      </w:r>
      <w:r w:rsidR="00C2674F" w:rsidRPr="00630C9F">
        <w:rPr>
          <w:rFonts w:cs="Arial"/>
          <w:color w:val="auto"/>
        </w:rPr>
        <w:t>corporate risk</w:t>
      </w:r>
      <w:r w:rsidR="00BB420C" w:rsidRPr="00630C9F">
        <w:rPr>
          <w:rFonts w:cs="Arial"/>
          <w:color w:val="auto"/>
        </w:rPr>
        <w:t>s</w:t>
      </w:r>
      <w:r w:rsidR="00C2674F" w:rsidRPr="00630C9F">
        <w:rPr>
          <w:rFonts w:cs="Arial"/>
          <w:color w:val="auto"/>
        </w:rPr>
        <w:t xml:space="preserve"> at </w:t>
      </w:r>
      <w:r w:rsidR="007C282E" w:rsidRPr="00630C9F">
        <w:rPr>
          <w:rFonts w:cs="Arial"/>
          <w:color w:val="auto"/>
        </w:rPr>
        <w:t xml:space="preserve">the end of </w:t>
      </w:r>
      <w:r w:rsidR="001B0AD1" w:rsidRPr="00630C9F">
        <w:rPr>
          <w:rFonts w:cs="Arial"/>
          <w:color w:val="auto"/>
        </w:rPr>
        <w:t>q</w:t>
      </w:r>
      <w:r w:rsidR="007C282E" w:rsidRPr="00630C9F">
        <w:rPr>
          <w:rFonts w:cs="Arial"/>
          <w:color w:val="auto"/>
        </w:rPr>
        <w:t xml:space="preserve">uarter </w:t>
      </w:r>
      <w:r w:rsidR="00251AD9" w:rsidRPr="00630C9F">
        <w:rPr>
          <w:rFonts w:cs="Arial"/>
          <w:color w:val="auto"/>
        </w:rPr>
        <w:t>one</w:t>
      </w:r>
      <w:r w:rsidR="00BB420C" w:rsidRPr="00630C9F">
        <w:rPr>
          <w:rFonts w:cs="Arial"/>
          <w:color w:val="auto"/>
        </w:rPr>
        <w:t>.  T</w:t>
      </w:r>
      <w:r w:rsidR="00251AD9" w:rsidRPr="00630C9F">
        <w:rPr>
          <w:rFonts w:cs="Arial"/>
          <w:color w:val="auto"/>
        </w:rPr>
        <w:t>hese relate to</w:t>
      </w:r>
      <w:r w:rsidR="00406D7A" w:rsidRPr="00630C9F">
        <w:rPr>
          <w:rFonts w:cs="Arial"/>
          <w:color w:val="auto"/>
        </w:rPr>
        <w:t xml:space="preserve"> </w:t>
      </w:r>
      <w:r w:rsidR="00AB24EA" w:rsidRPr="00630C9F">
        <w:rPr>
          <w:rFonts w:cs="Arial"/>
          <w:color w:val="auto"/>
        </w:rPr>
        <w:t xml:space="preserve">actions taken to </w:t>
      </w:r>
      <w:r w:rsidR="005E64CB" w:rsidRPr="00630C9F">
        <w:rPr>
          <w:rFonts w:cs="Arial"/>
          <w:color w:val="auto"/>
        </w:rPr>
        <w:t>ensur</w:t>
      </w:r>
      <w:r w:rsidR="00BB420C" w:rsidRPr="00630C9F">
        <w:rPr>
          <w:rFonts w:cs="Arial"/>
          <w:color w:val="auto"/>
        </w:rPr>
        <w:t>e</w:t>
      </w:r>
      <w:r w:rsidR="005E64CB" w:rsidRPr="00630C9F">
        <w:rPr>
          <w:rFonts w:cs="Arial"/>
          <w:color w:val="auto"/>
        </w:rPr>
        <w:t xml:space="preserve"> housi</w:t>
      </w:r>
      <w:r w:rsidR="00406D7A" w:rsidRPr="00630C9F">
        <w:rPr>
          <w:rFonts w:cs="Arial"/>
          <w:color w:val="auto"/>
        </w:rPr>
        <w:t>ng delivery and supply for the c</w:t>
      </w:r>
      <w:r w:rsidR="005E64CB" w:rsidRPr="00630C9F">
        <w:rPr>
          <w:rFonts w:cs="Arial"/>
          <w:color w:val="auto"/>
        </w:rPr>
        <w:t>ity</w:t>
      </w:r>
      <w:r w:rsidR="00BB420C" w:rsidRPr="00630C9F">
        <w:rPr>
          <w:rFonts w:cs="Arial"/>
          <w:color w:val="auto"/>
        </w:rPr>
        <w:t xml:space="preserve"> of Oxford</w:t>
      </w:r>
      <w:r w:rsidR="005E64CB" w:rsidRPr="00630C9F">
        <w:rPr>
          <w:rFonts w:cs="Arial"/>
          <w:color w:val="auto"/>
        </w:rPr>
        <w:t xml:space="preserve"> and </w:t>
      </w:r>
      <w:r w:rsidR="00BB420C" w:rsidRPr="00630C9F">
        <w:rPr>
          <w:rFonts w:cs="Arial"/>
          <w:color w:val="auto"/>
        </w:rPr>
        <w:t xml:space="preserve">to </w:t>
      </w:r>
      <w:r w:rsidR="005E64CB" w:rsidRPr="00630C9F">
        <w:rPr>
          <w:rFonts w:cs="Arial"/>
          <w:color w:val="auto"/>
        </w:rPr>
        <w:t>enabl</w:t>
      </w:r>
      <w:r w:rsidR="00BB420C" w:rsidRPr="00630C9F">
        <w:rPr>
          <w:rFonts w:cs="Arial"/>
          <w:color w:val="auto"/>
        </w:rPr>
        <w:t>e</w:t>
      </w:r>
      <w:r w:rsidR="005E64CB" w:rsidRPr="00630C9F">
        <w:rPr>
          <w:rFonts w:cs="Arial"/>
          <w:color w:val="auto"/>
        </w:rPr>
        <w:t xml:space="preserve"> sufficient house building and investment</w:t>
      </w:r>
      <w:r w:rsidR="002668C9" w:rsidRPr="00630C9F">
        <w:rPr>
          <w:rFonts w:cs="Arial"/>
          <w:color w:val="auto"/>
        </w:rPr>
        <w:t>; local, national or international factors adversely affect</w:t>
      </w:r>
      <w:r w:rsidR="00BB420C" w:rsidRPr="00630C9F">
        <w:rPr>
          <w:rFonts w:cs="Arial"/>
          <w:color w:val="auto"/>
        </w:rPr>
        <w:t>ing the economic growth of the c</w:t>
      </w:r>
      <w:r w:rsidR="002668C9" w:rsidRPr="00630C9F">
        <w:rPr>
          <w:rFonts w:cs="Arial"/>
          <w:color w:val="auto"/>
        </w:rPr>
        <w:t>ity</w:t>
      </w:r>
      <w:r w:rsidR="00D354EF">
        <w:rPr>
          <w:rFonts w:cs="Arial"/>
          <w:color w:val="auto"/>
        </w:rPr>
        <w:t xml:space="preserve"> and </w:t>
      </w:r>
      <w:r w:rsidR="00630C9F" w:rsidRPr="00630C9F">
        <w:rPr>
          <w:rFonts w:cs="Arial"/>
          <w:color w:val="auto"/>
        </w:rPr>
        <w:t>negative impacts of Climate Change.</w:t>
      </w:r>
      <w:r w:rsidR="00BB420C" w:rsidRPr="00630C9F">
        <w:rPr>
          <w:rFonts w:cs="Arial"/>
          <w:color w:val="auto"/>
        </w:rPr>
        <w:t xml:space="preserve">  M</w:t>
      </w:r>
      <w:r w:rsidR="0013140F" w:rsidRPr="00630C9F">
        <w:rPr>
          <w:rFonts w:cs="Arial"/>
          <w:color w:val="auto"/>
        </w:rPr>
        <w:t xml:space="preserve">ore details of </w:t>
      </w:r>
      <w:r w:rsidR="00BB420C" w:rsidRPr="00630C9F">
        <w:rPr>
          <w:rFonts w:cs="Arial"/>
          <w:color w:val="auto"/>
        </w:rPr>
        <w:t xml:space="preserve">the </w:t>
      </w:r>
      <w:r w:rsidR="00E72133" w:rsidRPr="00630C9F">
        <w:rPr>
          <w:rFonts w:cs="Arial"/>
          <w:color w:val="auto"/>
        </w:rPr>
        <w:t>risks</w:t>
      </w:r>
      <w:r w:rsidR="0013140F" w:rsidRPr="00630C9F">
        <w:rPr>
          <w:rFonts w:cs="Arial"/>
          <w:color w:val="auto"/>
        </w:rPr>
        <w:t xml:space="preserve"> can be found </w:t>
      </w:r>
      <w:r w:rsidR="008530EB" w:rsidRPr="00630C9F">
        <w:rPr>
          <w:rFonts w:cs="Arial"/>
          <w:color w:val="auto"/>
        </w:rPr>
        <w:t>in paragraph</w:t>
      </w:r>
      <w:r w:rsidR="00132A6F" w:rsidRPr="00630C9F">
        <w:rPr>
          <w:rFonts w:cs="Arial"/>
          <w:color w:val="auto"/>
        </w:rPr>
        <w:t>s</w:t>
      </w:r>
      <w:r w:rsidR="008530EB" w:rsidRPr="00D354EF">
        <w:rPr>
          <w:rFonts w:cs="Arial"/>
          <w:color w:val="auto"/>
        </w:rPr>
        <w:t xml:space="preserve"> </w:t>
      </w:r>
      <w:r w:rsidR="00A4165B" w:rsidRPr="00D354EF">
        <w:rPr>
          <w:rFonts w:cs="Arial"/>
          <w:color w:val="auto"/>
        </w:rPr>
        <w:t>1</w:t>
      </w:r>
      <w:r w:rsidR="00D354EF" w:rsidRPr="00D354EF">
        <w:rPr>
          <w:rFonts w:cs="Arial"/>
          <w:color w:val="auto"/>
        </w:rPr>
        <w:t>3</w:t>
      </w:r>
      <w:r w:rsidR="00132A6F" w:rsidRPr="00D354EF">
        <w:rPr>
          <w:rFonts w:cs="Arial"/>
          <w:color w:val="auto"/>
        </w:rPr>
        <w:t xml:space="preserve"> to </w:t>
      </w:r>
      <w:r w:rsidR="00A4165B" w:rsidRPr="00D354EF">
        <w:rPr>
          <w:rFonts w:cs="Arial"/>
          <w:color w:val="auto"/>
        </w:rPr>
        <w:t>1</w:t>
      </w:r>
      <w:r w:rsidR="00D354EF" w:rsidRPr="00D354EF">
        <w:rPr>
          <w:rFonts w:cs="Arial"/>
          <w:color w:val="auto"/>
        </w:rPr>
        <w:t>4</w:t>
      </w:r>
      <w:r w:rsidR="00132A6F" w:rsidRPr="00D354EF">
        <w:rPr>
          <w:rFonts w:cs="Arial"/>
          <w:color w:val="auto"/>
        </w:rPr>
        <w:t>;</w:t>
      </w:r>
    </w:p>
    <w:p w14:paraId="5F56DD0C" w14:textId="77777777" w:rsidR="006C483B" w:rsidRPr="00E41699" w:rsidRDefault="006C483B" w:rsidP="003976F3">
      <w:pPr>
        <w:pStyle w:val="Heading1"/>
        <w:rPr>
          <w:color w:val="auto"/>
        </w:rPr>
      </w:pPr>
      <w:r w:rsidRPr="00E41699">
        <w:rPr>
          <w:color w:val="auto"/>
        </w:rPr>
        <w:t>Financial Position</w:t>
      </w:r>
    </w:p>
    <w:p w14:paraId="226AECBA" w14:textId="77777777" w:rsidR="00536A53" w:rsidRPr="0021355D" w:rsidRDefault="00536A53" w:rsidP="003976F3">
      <w:pPr>
        <w:pStyle w:val="Heading1"/>
        <w:rPr>
          <w:color w:val="auto"/>
        </w:rPr>
      </w:pPr>
      <w:r w:rsidRPr="0021355D">
        <w:rPr>
          <w:color w:val="auto"/>
        </w:rPr>
        <w:t>General Fund Revenue</w:t>
      </w:r>
    </w:p>
    <w:p w14:paraId="7B086D77" w14:textId="77777777" w:rsidR="00E141C6" w:rsidRPr="00D354EF" w:rsidRDefault="00E141C6" w:rsidP="007E75B1">
      <w:pPr>
        <w:pStyle w:val="ListParagraph"/>
        <w:rPr>
          <w:color w:val="auto"/>
        </w:rPr>
      </w:pPr>
      <w:r w:rsidRPr="00D354EF">
        <w:rPr>
          <w:color w:val="auto"/>
        </w:rPr>
        <w:t xml:space="preserve">The </w:t>
      </w:r>
      <w:r w:rsidR="00F52E15" w:rsidRPr="00D354EF">
        <w:rPr>
          <w:color w:val="auto"/>
        </w:rPr>
        <w:t xml:space="preserve">overall </w:t>
      </w:r>
      <w:r w:rsidR="001A4B55" w:rsidRPr="00D354EF">
        <w:rPr>
          <w:color w:val="auto"/>
        </w:rPr>
        <w:t>N</w:t>
      </w:r>
      <w:r w:rsidR="00BC54ED" w:rsidRPr="00D354EF">
        <w:rPr>
          <w:color w:val="auto"/>
        </w:rPr>
        <w:t>et</w:t>
      </w:r>
      <w:r w:rsidR="002C45FC" w:rsidRPr="00D354EF">
        <w:rPr>
          <w:color w:val="auto"/>
        </w:rPr>
        <w:t xml:space="preserve"> </w:t>
      </w:r>
      <w:r w:rsidR="00DB40A3" w:rsidRPr="00D354EF">
        <w:rPr>
          <w:color w:val="auto"/>
        </w:rPr>
        <w:t>B</w:t>
      </w:r>
      <w:r w:rsidR="00F52E15" w:rsidRPr="00D354EF">
        <w:rPr>
          <w:color w:val="auto"/>
        </w:rPr>
        <w:t xml:space="preserve">udget </w:t>
      </w:r>
      <w:r w:rsidR="001A4B55" w:rsidRPr="00D354EF">
        <w:rPr>
          <w:color w:val="auto"/>
        </w:rPr>
        <w:t xml:space="preserve">Requirement </w:t>
      </w:r>
      <w:r w:rsidR="00CC2459" w:rsidRPr="00D354EF">
        <w:rPr>
          <w:color w:val="auto"/>
        </w:rPr>
        <w:t>a</w:t>
      </w:r>
      <w:r w:rsidR="00406D7A" w:rsidRPr="00D354EF">
        <w:rPr>
          <w:color w:val="auto"/>
        </w:rPr>
        <w:t>greed by the</w:t>
      </w:r>
      <w:r w:rsidR="009E1B80" w:rsidRPr="00D354EF">
        <w:rPr>
          <w:color w:val="auto"/>
        </w:rPr>
        <w:t xml:space="preserve"> Council in February 2021</w:t>
      </w:r>
      <w:r w:rsidR="00F52E15" w:rsidRPr="00D354EF">
        <w:rPr>
          <w:color w:val="auto"/>
        </w:rPr>
        <w:t xml:space="preserve"> was £</w:t>
      </w:r>
      <w:r w:rsidR="00E67CEB" w:rsidRPr="00D354EF">
        <w:rPr>
          <w:color w:val="auto"/>
        </w:rPr>
        <w:t>23.647</w:t>
      </w:r>
      <w:r w:rsidR="001E7192" w:rsidRPr="00D354EF">
        <w:rPr>
          <w:color w:val="auto"/>
        </w:rPr>
        <w:t xml:space="preserve"> </w:t>
      </w:r>
      <w:r w:rsidR="007E75B1" w:rsidRPr="00D354EF">
        <w:rPr>
          <w:color w:val="auto"/>
        </w:rPr>
        <w:t>million. Since setting</w:t>
      </w:r>
      <w:r w:rsidR="00F52E15" w:rsidRPr="00D354EF">
        <w:rPr>
          <w:color w:val="auto"/>
        </w:rPr>
        <w:t xml:space="preserve"> the budget</w:t>
      </w:r>
      <w:r w:rsidR="000F1081" w:rsidRPr="00D354EF">
        <w:rPr>
          <w:color w:val="auto"/>
        </w:rPr>
        <w:t>, service area expenditure</w:t>
      </w:r>
      <w:r w:rsidR="007E75B1" w:rsidRPr="00D354EF">
        <w:rPr>
          <w:color w:val="auto"/>
        </w:rPr>
        <w:t xml:space="preserve"> </w:t>
      </w:r>
      <w:r w:rsidR="004E7EEE" w:rsidRPr="00D354EF">
        <w:rPr>
          <w:color w:val="auto"/>
        </w:rPr>
        <w:t>has de</w:t>
      </w:r>
      <w:r w:rsidR="00C32898" w:rsidRPr="00D354EF">
        <w:rPr>
          <w:color w:val="auto"/>
        </w:rPr>
        <w:t xml:space="preserve">creased </w:t>
      </w:r>
      <w:r w:rsidR="007E75B1" w:rsidRPr="00D354EF">
        <w:rPr>
          <w:color w:val="auto"/>
        </w:rPr>
        <w:t xml:space="preserve">by </w:t>
      </w:r>
      <w:r w:rsidR="00DA6824" w:rsidRPr="00D354EF">
        <w:rPr>
          <w:color w:val="auto"/>
        </w:rPr>
        <w:t xml:space="preserve">a </w:t>
      </w:r>
      <w:r w:rsidR="00A31C7F" w:rsidRPr="00D354EF">
        <w:rPr>
          <w:color w:val="auto"/>
        </w:rPr>
        <w:t>net total</w:t>
      </w:r>
      <w:r w:rsidR="00DA6824" w:rsidRPr="00D354EF">
        <w:rPr>
          <w:color w:val="auto"/>
        </w:rPr>
        <w:t xml:space="preserve"> of </w:t>
      </w:r>
      <w:r w:rsidR="007E75B1" w:rsidRPr="00D354EF">
        <w:rPr>
          <w:color w:val="auto"/>
        </w:rPr>
        <w:t>£</w:t>
      </w:r>
      <w:r w:rsidR="009E1B80" w:rsidRPr="00D354EF">
        <w:rPr>
          <w:color w:val="auto"/>
        </w:rPr>
        <w:t xml:space="preserve">2.262 </w:t>
      </w:r>
      <w:r w:rsidR="007E75B1" w:rsidRPr="00D354EF">
        <w:rPr>
          <w:color w:val="auto"/>
        </w:rPr>
        <w:t>million</w:t>
      </w:r>
      <w:r w:rsidR="00A31C7F" w:rsidRPr="00D354EF">
        <w:rPr>
          <w:color w:val="auto"/>
        </w:rPr>
        <w:t xml:space="preserve">, this </w:t>
      </w:r>
      <w:r w:rsidR="00C41ADA" w:rsidRPr="00D354EF">
        <w:rPr>
          <w:color w:val="auto"/>
        </w:rPr>
        <w:t xml:space="preserve">is </w:t>
      </w:r>
      <w:r w:rsidR="00BB420C" w:rsidRPr="00D354EF">
        <w:rPr>
          <w:color w:val="auto"/>
        </w:rPr>
        <w:t xml:space="preserve">due to </w:t>
      </w:r>
      <w:r w:rsidR="00C41ADA" w:rsidRPr="00D354EF">
        <w:rPr>
          <w:color w:val="auto"/>
        </w:rPr>
        <w:t xml:space="preserve">a combination of </w:t>
      </w:r>
      <w:proofErr w:type="spellStart"/>
      <w:r w:rsidR="00C41ADA" w:rsidRPr="00D354EF">
        <w:rPr>
          <w:color w:val="auto"/>
        </w:rPr>
        <w:t>virements</w:t>
      </w:r>
      <w:proofErr w:type="spellEnd"/>
      <w:r w:rsidR="00C41ADA" w:rsidRPr="00D354EF">
        <w:rPr>
          <w:color w:val="auto"/>
        </w:rPr>
        <w:t xml:space="preserve"> within service areas</w:t>
      </w:r>
      <w:r w:rsidR="009E1B80" w:rsidRPr="00D354EF">
        <w:rPr>
          <w:color w:val="auto"/>
        </w:rPr>
        <w:t xml:space="preserve"> and </w:t>
      </w:r>
      <w:r w:rsidR="00B954BE" w:rsidRPr="00D354EF">
        <w:rPr>
          <w:color w:val="auto"/>
        </w:rPr>
        <w:t>additions to</w:t>
      </w:r>
      <w:r w:rsidR="00C41ADA" w:rsidRPr="00D354EF">
        <w:rPr>
          <w:color w:val="auto"/>
        </w:rPr>
        <w:t xml:space="preserve"> reserves</w:t>
      </w:r>
      <w:r w:rsidR="00B954BE" w:rsidRPr="00D354EF">
        <w:rPr>
          <w:color w:val="auto"/>
        </w:rPr>
        <w:t xml:space="preserve"> of grant income received</w:t>
      </w:r>
      <w:r w:rsidR="009E1B80" w:rsidRPr="00D354EF">
        <w:rPr>
          <w:color w:val="auto"/>
        </w:rPr>
        <w:t xml:space="preserve">.   </w:t>
      </w:r>
      <w:r w:rsidR="005F01A3" w:rsidRPr="00D354EF">
        <w:rPr>
          <w:color w:val="auto"/>
        </w:rPr>
        <w:t xml:space="preserve">The </w:t>
      </w:r>
      <w:r w:rsidR="007E75B1" w:rsidRPr="00D354EF">
        <w:rPr>
          <w:color w:val="auto"/>
        </w:rPr>
        <w:t>Net Budget Requirement remains</w:t>
      </w:r>
      <w:r w:rsidR="00B32485" w:rsidRPr="00D354EF">
        <w:rPr>
          <w:color w:val="auto"/>
        </w:rPr>
        <w:t xml:space="preserve"> </w:t>
      </w:r>
      <w:r w:rsidR="0018749F" w:rsidRPr="00D354EF">
        <w:rPr>
          <w:color w:val="auto"/>
        </w:rPr>
        <w:t>unchanged</w:t>
      </w:r>
      <w:r w:rsidR="007E75B1" w:rsidRPr="00D354EF">
        <w:rPr>
          <w:color w:val="auto"/>
        </w:rPr>
        <w:t>.</w:t>
      </w:r>
      <w:r w:rsidR="00C84C29" w:rsidRPr="00D354EF">
        <w:rPr>
          <w:color w:val="auto"/>
        </w:rPr>
        <w:t xml:space="preserve">  </w:t>
      </w:r>
    </w:p>
    <w:p w14:paraId="0D5C5C87" w14:textId="77777777" w:rsidR="00C41ADA" w:rsidRPr="00053D19" w:rsidRDefault="00B32485" w:rsidP="005570B5">
      <w:pPr>
        <w:pStyle w:val="ListParagraph"/>
        <w:rPr>
          <w:color w:val="auto"/>
        </w:rPr>
      </w:pPr>
      <w:proofErr w:type="spellStart"/>
      <w:r w:rsidRPr="00053D19">
        <w:rPr>
          <w:color w:val="auto"/>
        </w:rPr>
        <w:t>V</w:t>
      </w:r>
      <w:r w:rsidR="00F431BC" w:rsidRPr="00053D19">
        <w:rPr>
          <w:color w:val="auto"/>
        </w:rPr>
        <w:t>irements</w:t>
      </w:r>
      <w:proofErr w:type="spellEnd"/>
      <w:r w:rsidR="001E7192" w:rsidRPr="00053D19">
        <w:rPr>
          <w:color w:val="auto"/>
        </w:rPr>
        <w:t xml:space="preserve"> between service areas</w:t>
      </w:r>
      <w:r w:rsidR="00F431BC" w:rsidRPr="00053D19">
        <w:rPr>
          <w:color w:val="auto"/>
        </w:rPr>
        <w:t>,</w:t>
      </w:r>
      <w:r w:rsidR="00406D7A" w:rsidRPr="00053D19">
        <w:rPr>
          <w:color w:val="auto"/>
        </w:rPr>
        <w:t xml:space="preserve"> were</w:t>
      </w:r>
      <w:r w:rsidR="00F431BC" w:rsidRPr="00053D19">
        <w:rPr>
          <w:color w:val="auto"/>
        </w:rPr>
        <w:t xml:space="preserve"> authorised under delegated powers by the Council’s Head of Financial Services totalling £</w:t>
      </w:r>
      <w:r w:rsidR="002C45FC" w:rsidRPr="00053D19">
        <w:rPr>
          <w:color w:val="auto"/>
        </w:rPr>
        <w:t>0.</w:t>
      </w:r>
      <w:r w:rsidR="00B153AB" w:rsidRPr="00053D19">
        <w:rPr>
          <w:color w:val="auto"/>
        </w:rPr>
        <w:t>338</w:t>
      </w:r>
      <w:r w:rsidR="002C45FC" w:rsidRPr="00053D19">
        <w:rPr>
          <w:color w:val="auto"/>
        </w:rPr>
        <w:t xml:space="preserve"> million</w:t>
      </w:r>
      <w:r w:rsidR="00133FCB" w:rsidRPr="00053D19">
        <w:rPr>
          <w:color w:val="auto"/>
        </w:rPr>
        <w:t>,</w:t>
      </w:r>
      <w:r w:rsidR="001826BE" w:rsidRPr="00053D19">
        <w:rPr>
          <w:color w:val="auto"/>
        </w:rPr>
        <w:t xml:space="preserve"> </w:t>
      </w:r>
      <w:r w:rsidR="00133FCB" w:rsidRPr="00053D19">
        <w:rPr>
          <w:color w:val="auto"/>
        </w:rPr>
        <w:t>t</w:t>
      </w:r>
      <w:r w:rsidR="00F431BC" w:rsidRPr="00053D19">
        <w:rPr>
          <w:color w:val="auto"/>
        </w:rPr>
        <w:t>he most notable of which</w:t>
      </w:r>
      <w:r w:rsidR="00C41ADA" w:rsidRPr="00053D19">
        <w:rPr>
          <w:color w:val="auto"/>
        </w:rPr>
        <w:t xml:space="preserve"> </w:t>
      </w:r>
      <w:r w:rsidR="00406D7A" w:rsidRPr="00053D19">
        <w:rPr>
          <w:color w:val="auto"/>
        </w:rPr>
        <w:t>relate</w:t>
      </w:r>
      <w:r w:rsidR="003C7DE4" w:rsidRPr="00053D19">
        <w:rPr>
          <w:color w:val="auto"/>
        </w:rPr>
        <w:t>s</w:t>
      </w:r>
      <w:r w:rsidR="00406D7A" w:rsidRPr="00053D19">
        <w:rPr>
          <w:color w:val="auto"/>
        </w:rPr>
        <w:t xml:space="preserve"> to</w:t>
      </w:r>
      <w:r w:rsidR="00C41ADA" w:rsidRPr="00053D19">
        <w:rPr>
          <w:color w:val="auto"/>
        </w:rPr>
        <w:t xml:space="preserve"> the re</w:t>
      </w:r>
      <w:r w:rsidR="00744A70" w:rsidRPr="00053D19">
        <w:rPr>
          <w:color w:val="auto"/>
        </w:rPr>
        <w:t xml:space="preserve">distribution of funding </w:t>
      </w:r>
      <w:r w:rsidR="00053D19" w:rsidRPr="00053D19">
        <w:rPr>
          <w:color w:val="auto"/>
        </w:rPr>
        <w:t>for Tree Officers from Environmental Sustainability to Planning</w:t>
      </w:r>
      <w:r w:rsidR="00C41ADA" w:rsidRPr="00053D19">
        <w:rPr>
          <w:color w:val="auto"/>
        </w:rPr>
        <w:t>.</w:t>
      </w:r>
    </w:p>
    <w:p w14:paraId="2B5668E8" w14:textId="77777777" w:rsidR="003025E1" w:rsidRPr="00E41699" w:rsidRDefault="00406D7A" w:rsidP="005570B5">
      <w:pPr>
        <w:pStyle w:val="ListParagraph"/>
        <w:rPr>
          <w:color w:val="auto"/>
        </w:rPr>
      </w:pPr>
      <w:r w:rsidRPr="00E41699">
        <w:rPr>
          <w:color w:val="auto"/>
        </w:rPr>
        <w:lastRenderedPageBreak/>
        <w:t xml:space="preserve">The </w:t>
      </w:r>
      <w:r w:rsidR="00053D19" w:rsidRPr="00E41699">
        <w:rPr>
          <w:color w:val="auto"/>
        </w:rPr>
        <w:t>contribution to</w:t>
      </w:r>
      <w:r w:rsidR="00C41ADA" w:rsidRPr="00E41699">
        <w:rPr>
          <w:color w:val="auto"/>
        </w:rPr>
        <w:t xml:space="preserve"> reserves totals a net movement of </w:t>
      </w:r>
      <w:r w:rsidR="00F431BC" w:rsidRPr="00E41699">
        <w:rPr>
          <w:color w:val="auto"/>
        </w:rPr>
        <w:t>£</w:t>
      </w:r>
      <w:r w:rsidR="00053D19" w:rsidRPr="00E41699">
        <w:rPr>
          <w:color w:val="auto"/>
        </w:rPr>
        <w:t>1.9</w:t>
      </w:r>
      <w:r w:rsidR="00E67CEB">
        <w:rPr>
          <w:color w:val="auto"/>
        </w:rPr>
        <w:t>92</w:t>
      </w:r>
      <w:r w:rsidR="002C45FC" w:rsidRPr="00E41699">
        <w:rPr>
          <w:color w:val="auto"/>
        </w:rPr>
        <w:t>million</w:t>
      </w:r>
      <w:r w:rsidR="00C41ADA" w:rsidRPr="00E41699">
        <w:rPr>
          <w:color w:val="auto"/>
        </w:rPr>
        <w:t xml:space="preserve">, </w:t>
      </w:r>
      <w:r w:rsidR="00053D19" w:rsidRPr="00E41699">
        <w:rPr>
          <w:color w:val="auto"/>
        </w:rPr>
        <w:t>with the most significant movement being adding</w:t>
      </w:r>
      <w:r w:rsidR="003940F3">
        <w:rPr>
          <w:color w:val="auto"/>
        </w:rPr>
        <w:t xml:space="preserve"> the 2021/22 grant allocation received from</w:t>
      </w:r>
      <w:r w:rsidR="00053D19" w:rsidRPr="00E41699">
        <w:rPr>
          <w:color w:val="auto"/>
        </w:rPr>
        <w:t xml:space="preserve"> MHCLG </w:t>
      </w:r>
      <w:r w:rsidR="003940F3">
        <w:rPr>
          <w:color w:val="auto"/>
        </w:rPr>
        <w:t xml:space="preserve">for both </w:t>
      </w:r>
      <w:r w:rsidR="00053D19" w:rsidRPr="00E41699">
        <w:rPr>
          <w:color w:val="auto"/>
        </w:rPr>
        <w:t>homeless</w:t>
      </w:r>
      <w:r w:rsidR="003A1AD0" w:rsidRPr="00E41699">
        <w:rPr>
          <w:color w:val="auto"/>
        </w:rPr>
        <w:t xml:space="preserve"> prevention</w:t>
      </w:r>
      <w:r w:rsidR="00053D19" w:rsidRPr="00E41699">
        <w:rPr>
          <w:color w:val="auto"/>
        </w:rPr>
        <w:t xml:space="preserve"> and rough sleeping</w:t>
      </w:r>
      <w:r w:rsidR="003A1AD0" w:rsidRPr="00E41699">
        <w:rPr>
          <w:color w:val="auto"/>
        </w:rPr>
        <w:t xml:space="preserve"> initiative</w:t>
      </w:r>
      <w:r w:rsidR="00053D19" w:rsidRPr="00E41699">
        <w:rPr>
          <w:color w:val="auto"/>
        </w:rPr>
        <w:t xml:space="preserve"> funding to reserves.</w:t>
      </w:r>
      <w:r w:rsidR="00B83F15" w:rsidRPr="00B83F15">
        <w:t xml:space="preserve"> </w:t>
      </w:r>
      <w:r w:rsidR="003940F3">
        <w:t>This has been paid to us in advance and will be released into Revenue as and when expenditure is incurred.</w:t>
      </w:r>
    </w:p>
    <w:p w14:paraId="2D035929" w14:textId="77777777" w:rsidR="0021355D" w:rsidRPr="0021355D" w:rsidRDefault="00C10C69" w:rsidP="00E141C6">
      <w:pPr>
        <w:pStyle w:val="ListParagraph"/>
        <w:rPr>
          <w:color w:val="FF0000"/>
        </w:rPr>
      </w:pPr>
      <w:r w:rsidRPr="00C10C69">
        <w:rPr>
          <w:color w:val="auto"/>
        </w:rPr>
        <w:t>As at 30</w:t>
      </w:r>
      <w:r w:rsidRPr="00C10C69">
        <w:rPr>
          <w:color w:val="auto"/>
          <w:vertAlign w:val="superscript"/>
        </w:rPr>
        <w:t>th</w:t>
      </w:r>
      <w:r w:rsidRPr="00C10C69">
        <w:rPr>
          <w:color w:val="auto"/>
        </w:rPr>
        <w:t xml:space="preserve"> June 2021</w:t>
      </w:r>
      <w:r w:rsidR="00E41699">
        <w:rPr>
          <w:color w:val="auto"/>
        </w:rPr>
        <w:t xml:space="preserve"> </w:t>
      </w:r>
      <w:r>
        <w:rPr>
          <w:color w:val="auto"/>
        </w:rPr>
        <w:t xml:space="preserve">the General Fund Service Area is not projecting any outturn variances against the latest budget of £33.532 million however there are a number of key areas that continue to be impacted by COVID 19 </w:t>
      </w:r>
      <w:r w:rsidR="009B76C1">
        <w:rPr>
          <w:color w:val="auto"/>
        </w:rPr>
        <w:t>that</w:t>
      </w:r>
      <w:r>
        <w:rPr>
          <w:color w:val="auto"/>
        </w:rPr>
        <w:t xml:space="preserve"> are being monitored closely</w:t>
      </w:r>
      <w:r w:rsidR="009B76C1">
        <w:rPr>
          <w:color w:val="auto"/>
        </w:rPr>
        <w:t>. These include :</w:t>
      </w:r>
      <w:r>
        <w:rPr>
          <w:color w:val="auto"/>
        </w:rPr>
        <w:t xml:space="preserve">   </w:t>
      </w:r>
    </w:p>
    <w:p w14:paraId="74803B4E" w14:textId="3C8A1633" w:rsidR="0021355D" w:rsidRPr="00630C9F" w:rsidRDefault="0021355D" w:rsidP="0021355D">
      <w:pPr>
        <w:pStyle w:val="ListParagraph"/>
        <w:numPr>
          <w:ilvl w:val="1"/>
          <w:numId w:val="2"/>
        </w:numPr>
        <w:rPr>
          <w:color w:val="auto"/>
        </w:rPr>
      </w:pPr>
      <w:r w:rsidRPr="003940F3">
        <w:rPr>
          <w:b/>
          <w:color w:val="auto"/>
        </w:rPr>
        <w:t>Car Park income</w:t>
      </w:r>
      <w:r>
        <w:rPr>
          <w:color w:val="auto"/>
        </w:rPr>
        <w:t xml:space="preserve"> – the budget for the current year </w:t>
      </w:r>
      <w:r w:rsidR="00FD4A43">
        <w:rPr>
          <w:color w:val="auto"/>
        </w:rPr>
        <w:t xml:space="preserve">2021-22 agreed in February 2021 was </w:t>
      </w:r>
      <w:r>
        <w:rPr>
          <w:color w:val="auto"/>
        </w:rPr>
        <w:t xml:space="preserve">reduced </w:t>
      </w:r>
      <w:r w:rsidR="00DD4470">
        <w:rPr>
          <w:color w:val="auto"/>
        </w:rPr>
        <w:t xml:space="preserve">from £6.7 million </w:t>
      </w:r>
      <w:r>
        <w:rPr>
          <w:color w:val="auto"/>
        </w:rPr>
        <w:t>by approx. £1.500 million</w:t>
      </w:r>
      <w:r w:rsidR="00FD4A43">
        <w:rPr>
          <w:color w:val="auto"/>
        </w:rPr>
        <w:t xml:space="preserve"> to take account of reduced usage</w:t>
      </w:r>
      <w:r>
        <w:rPr>
          <w:color w:val="auto"/>
        </w:rPr>
        <w:t xml:space="preserve">.   </w:t>
      </w:r>
      <w:r w:rsidR="00FD4A43">
        <w:rPr>
          <w:color w:val="auto"/>
        </w:rPr>
        <w:t>I</w:t>
      </w:r>
      <w:r>
        <w:rPr>
          <w:color w:val="auto"/>
        </w:rPr>
        <w:t xml:space="preserve">ncome for the first quarter </w:t>
      </w:r>
      <w:r w:rsidR="00151EDF">
        <w:rPr>
          <w:color w:val="auto"/>
        </w:rPr>
        <w:t>of</w:t>
      </w:r>
      <w:r w:rsidR="00FD4A43">
        <w:rPr>
          <w:color w:val="auto"/>
        </w:rPr>
        <w:t xml:space="preserve"> 2021-22 </w:t>
      </w:r>
      <w:r>
        <w:rPr>
          <w:color w:val="auto"/>
        </w:rPr>
        <w:t xml:space="preserve">is 40% down on </w:t>
      </w:r>
      <w:r w:rsidR="00DD4470">
        <w:rPr>
          <w:color w:val="auto"/>
        </w:rPr>
        <w:t xml:space="preserve">the revised </w:t>
      </w:r>
      <w:r>
        <w:rPr>
          <w:color w:val="auto"/>
        </w:rPr>
        <w:t>budget</w:t>
      </w:r>
      <w:r w:rsidRPr="00630C9F">
        <w:rPr>
          <w:color w:val="auto"/>
        </w:rPr>
        <w:t xml:space="preserve">.   Shoppers have returned to the city however many businesses are still predominantly working from home </w:t>
      </w:r>
      <w:r w:rsidR="00FD4A43">
        <w:rPr>
          <w:color w:val="auto"/>
        </w:rPr>
        <w:t xml:space="preserve">leading to the </w:t>
      </w:r>
      <w:r w:rsidRPr="00630C9F">
        <w:rPr>
          <w:color w:val="auto"/>
        </w:rPr>
        <w:t xml:space="preserve">reduced usage of some car parks.   </w:t>
      </w:r>
      <w:r w:rsidR="00FD4A43">
        <w:rPr>
          <w:color w:val="auto"/>
        </w:rPr>
        <w:t>The position is being monitored but may result in further reduction in income forecast in the next monitoring report.</w:t>
      </w:r>
    </w:p>
    <w:p w14:paraId="76700F20" w14:textId="77777777" w:rsidR="009B6D80" w:rsidRPr="00630C9F" w:rsidRDefault="0021355D" w:rsidP="0021355D">
      <w:pPr>
        <w:pStyle w:val="ListParagraph"/>
        <w:numPr>
          <w:ilvl w:val="1"/>
          <w:numId w:val="2"/>
        </w:numPr>
        <w:rPr>
          <w:color w:val="auto"/>
        </w:rPr>
      </w:pPr>
      <w:r w:rsidRPr="003940F3">
        <w:rPr>
          <w:b/>
          <w:color w:val="auto"/>
        </w:rPr>
        <w:t>Community Centre income</w:t>
      </w:r>
      <w:r w:rsidRPr="00630C9F">
        <w:rPr>
          <w:color w:val="auto"/>
        </w:rPr>
        <w:t xml:space="preserve"> – the budget for the current year </w:t>
      </w:r>
      <w:r w:rsidR="00FD4A43">
        <w:rPr>
          <w:color w:val="auto"/>
        </w:rPr>
        <w:t xml:space="preserve">2021-22 </w:t>
      </w:r>
      <w:r w:rsidRPr="00630C9F">
        <w:rPr>
          <w:color w:val="auto"/>
        </w:rPr>
        <w:t>was reduced by £0.160 million.   The overall position to date for the service is consistent with this although it is being achieved by a saving in premises and employee costs rather than meeting the income target.</w:t>
      </w:r>
    </w:p>
    <w:p w14:paraId="44013F21" w14:textId="77777777" w:rsidR="0021355D" w:rsidRPr="00630C9F" w:rsidRDefault="0021355D" w:rsidP="0021355D">
      <w:pPr>
        <w:pStyle w:val="ListParagraph"/>
        <w:numPr>
          <w:ilvl w:val="1"/>
          <w:numId w:val="2"/>
        </w:numPr>
        <w:rPr>
          <w:color w:val="auto"/>
        </w:rPr>
      </w:pPr>
      <w:r w:rsidRPr="003940F3">
        <w:rPr>
          <w:b/>
          <w:color w:val="auto"/>
        </w:rPr>
        <w:t>Licensing</w:t>
      </w:r>
      <w:r w:rsidRPr="00630C9F">
        <w:rPr>
          <w:color w:val="auto"/>
        </w:rPr>
        <w:t xml:space="preserve"> – the budget </w:t>
      </w:r>
      <w:r w:rsidR="00FD4A43">
        <w:rPr>
          <w:color w:val="auto"/>
        </w:rPr>
        <w:t xml:space="preserve">for the current year 2021-22 </w:t>
      </w:r>
      <w:r w:rsidRPr="00630C9F">
        <w:rPr>
          <w:color w:val="auto"/>
        </w:rPr>
        <w:t>was reduced by £0.030 million and currently income is significantly below the budget for the year although there is some mitigation from staff vacancies.   The income forecast currently remains at the original level but this will be reviewed during the year.</w:t>
      </w:r>
    </w:p>
    <w:p w14:paraId="7EDF9C3E" w14:textId="77777777" w:rsidR="0021355D" w:rsidRPr="00630C9F" w:rsidRDefault="0021355D" w:rsidP="0021355D">
      <w:pPr>
        <w:pStyle w:val="ListParagraph"/>
        <w:numPr>
          <w:ilvl w:val="1"/>
          <w:numId w:val="2"/>
        </w:numPr>
        <w:rPr>
          <w:color w:val="auto"/>
        </w:rPr>
      </w:pPr>
      <w:r w:rsidRPr="003940F3">
        <w:rPr>
          <w:b/>
          <w:color w:val="auto"/>
        </w:rPr>
        <w:t>Property rental</w:t>
      </w:r>
      <w:r w:rsidRPr="00630C9F">
        <w:rPr>
          <w:color w:val="auto"/>
        </w:rPr>
        <w:t xml:space="preserve"> – the budget in the current year </w:t>
      </w:r>
      <w:r w:rsidR="00FD4A43">
        <w:rPr>
          <w:color w:val="auto"/>
        </w:rPr>
        <w:t xml:space="preserve">2021-22 </w:t>
      </w:r>
      <w:r w:rsidRPr="00630C9F">
        <w:rPr>
          <w:color w:val="auto"/>
        </w:rPr>
        <w:t xml:space="preserve">was reduced by £3.700 million due to the significant pressures that COVID 19 placed on this income stream.   The forecast remains unchanged but arrears are being closely monitored with 37% of Q1 invoices issued in March 2021 still </w:t>
      </w:r>
      <w:r w:rsidR="007F6499" w:rsidRPr="00630C9F">
        <w:rPr>
          <w:color w:val="auto"/>
        </w:rPr>
        <w:t>outstanding.</w:t>
      </w:r>
    </w:p>
    <w:p w14:paraId="6379ECC2" w14:textId="77777777" w:rsidR="007F6499" w:rsidRDefault="007F6499" w:rsidP="0021355D">
      <w:pPr>
        <w:pStyle w:val="ListParagraph"/>
        <w:numPr>
          <w:ilvl w:val="1"/>
          <w:numId w:val="2"/>
        </w:numPr>
        <w:rPr>
          <w:color w:val="auto"/>
        </w:rPr>
      </w:pPr>
      <w:r w:rsidRPr="003940F3">
        <w:rPr>
          <w:b/>
          <w:color w:val="auto"/>
        </w:rPr>
        <w:t>Town Hall income</w:t>
      </w:r>
      <w:r w:rsidRPr="00630C9F">
        <w:rPr>
          <w:color w:val="auto"/>
        </w:rPr>
        <w:t xml:space="preserve"> – the </w:t>
      </w:r>
      <w:r w:rsidR="003940F3">
        <w:rPr>
          <w:color w:val="auto"/>
        </w:rPr>
        <w:t xml:space="preserve">net </w:t>
      </w:r>
      <w:r w:rsidRPr="00630C9F">
        <w:rPr>
          <w:color w:val="auto"/>
        </w:rPr>
        <w:t xml:space="preserve">income target for the current year was reduced by £0.536 million and this area is only slightly </w:t>
      </w:r>
      <w:r w:rsidRPr="007F6499">
        <w:rPr>
          <w:color w:val="auto"/>
        </w:rPr>
        <w:t>down on budget on a year to date basis so no forecast changes are anticipated.</w:t>
      </w:r>
    </w:p>
    <w:p w14:paraId="577CC097" w14:textId="77777777" w:rsidR="007F6499" w:rsidRDefault="007F6499" w:rsidP="0021355D">
      <w:pPr>
        <w:pStyle w:val="ListParagraph"/>
        <w:numPr>
          <w:ilvl w:val="1"/>
          <w:numId w:val="2"/>
        </w:numPr>
        <w:rPr>
          <w:color w:val="auto"/>
        </w:rPr>
      </w:pPr>
      <w:r w:rsidRPr="003940F3">
        <w:rPr>
          <w:b/>
          <w:color w:val="auto"/>
        </w:rPr>
        <w:t>Events income</w:t>
      </w:r>
      <w:r>
        <w:rPr>
          <w:color w:val="auto"/>
        </w:rPr>
        <w:t xml:space="preserve"> – the income budget was reduced by 50% and income has picked up considerably in the last month so it is hoped the target will be met and no forecast changes will be necessary.</w:t>
      </w:r>
    </w:p>
    <w:p w14:paraId="67F55332" w14:textId="77777777" w:rsidR="00FD4A43" w:rsidRDefault="00FD4A43" w:rsidP="0021355D">
      <w:pPr>
        <w:pStyle w:val="ListParagraph"/>
        <w:numPr>
          <w:ilvl w:val="1"/>
          <w:numId w:val="2"/>
        </w:numPr>
        <w:rPr>
          <w:color w:val="auto"/>
        </w:rPr>
      </w:pPr>
      <w:r w:rsidRPr="00151EDF">
        <w:rPr>
          <w:b/>
          <w:color w:val="auto"/>
        </w:rPr>
        <w:t>Oxford Direct Services</w:t>
      </w:r>
      <w:r>
        <w:rPr>
          <w:color w:val="auto"/>
        </w:rPr>
        <w:t xml:space="preserve"> have deferred the decision as to whether to pay a dividend for 2020-21 in this financial </w:t>
      </w:r>
      <w:r w:rsidR="00EB1712">
        <w:rPr>
          <w:color w:val="auto"/>
        </w:rPr>
        <w:t xml:space="preserve">year, </w:t>
      </w:r>
      <w:r>
        <w:rPr>
          <w:color w:val="auto"/>
        </w:rPr>
        <w:t>due to the ongoing im</w:t>
      </w:r>
      <w:r w:rsidR="00151EDF">
        <w:rPr>
          <w:color w:val="auto"/>
        </w:rPr>
        <w:t>p</w:t>
      </w:r>
      <w:r>
        <w:rPr>
          <w:color w:val="auto"/>
        </w:rPr>
        <w:t>act of COVID and the lack of financial management information available arising from the ongoing problems of the QL system implementation. Further adjusted forecasts will be made in future monitoring reports</w:t>
      </w:r>
    </w:p>
    <w:p w14:paraId="4985860C" w14:textId="77777777" w:rsidR="00FD4A43" w:rsidRDefault="00FD4A43" w:rsidP="0021355D">
      <w:pPr>
        <w:pStyle w:val="ListParagraph"/>
        <w:numPr>
          <w:ilvl w:val="1"/>
          <w:numId w:val="2"/>
        </w:numPr>
        <w:rPr>
          <w:color w:val="auto"/>
        </w:rPr>
      </w:pPr>
      <w:r w:rsidRPr="00151EDF">
        <w:rPr>
          <w:b/>
          <w:color w:val="auto"/>
        </w:rPr>
        <w:t>O</w:t>
      </w:r>
      <w:r w:rsidR="00EB1712" w:rsidRPr="00151EDF">
        <w:rPr>
          <w:b/>
          <w:color w:val="auto"/>
        </w:rPr>
        <w:t xml:space="preserve">xford </w:t>
      </w:r>
      <w:r w:rsidRPr="00151EDF">
        <w:rPr>
          <w:b/>
          <w:color w:val="auto"/>
        </w:rPr>
        <w:t>C</w:t>
      </w:r>
      <w:r w:rsidR="00EB1712" w:rsidRPr="00151EDF">
        <w:rPr>
          <w:b/>
          <w:color w:val="auto"/>
        </w:rPr>
        <w:t xml:space="preserve">ity </w:t>
      </w:r>
      <w:r w:rsidRPr="00151EDF">
        <w:rPr>
          <w:b/>
          <w:color w:val="auto"/>
        </w:rPr>
        <w:t>H</w:t>
      </w:r>
      <w:r w:rsidR="00EB1712" w:rsidRPr="00151EDF">
        <w:rPr>
          <w:b/>
          <w:color w:val="auto"/>
        </w:rPr>
        <w:t xml:space="preserve">ousing </w:t>
      </w:r>
      <w:r w:rsidRPr="00151EDF">
        <w:rPr>
          <w:b/>
          <w:color w:val="auto"/>
        </w:rPr>
        <w:t>L</w:t>
      </w:r>
      <w:r w:rsidR="00EB1712" w:rsidRPr="00151EDF">
        <w:rPr>
          <w:b/>
          <w:color w:val="auto"/>
        </w:rPr>
        <w:t>im</w:t>
      </w:r>
      <w:r w:rsidR="00EB1712">
        <w:rPr>
          <w:b/>
          <w:color w:val="auto"/>
        </w:rPr>
        <w:t>i</w:t>
      </w:r>
      <w:r w:rsidR="00EB1712" w:rsidRPr="00151EDF">
        <w:rPr>
          <w:b/>
          <w:color w:val="auto"/>
        </w:rPr>
        <w:t>ted</w:t>
      </w:r>
      <w:r>
        <w:rPr>
          <w:color w:val="auto"/>
        </w:rPr>
        <w:t xml:space="preserve"> – The Company will present their revised business plan to shareholders in July. Developments have been delayed due to COVID and increased corporation tax announced in the </w:t>
      </w:r>
      <w:r w:rsidR="008E04AF">
        <w:rPr>
          <w:color w:val="auto"/>
        </w:rPr>
        <w:t>chancellors’</w:t>
      </w:r>
      <w:r w:rsidR="009B76C1">
        <w:rPr>
          <w:color w:val="auto"/>
        </w:rPr>
        <w:t xml:space="preserve"> </w:t>
      </w:r>
      <w:r>
        <w:rPr>
          <w:color w:val="auto"/>
        </w:rPr>
        <w:t>budget make some form of adjustment in return</w:t>
      </w:r>
      <w:r w:rsidR="00EB1712">
        <w:rPr>
          <w:color w:val="auto"/>
        </w:rPr>
        <w:t xml:space="preserve">s from the Company a </w:t>
      </w:r>
      <w:r w:rsidR="00EB1712">
        <w:rPr>
          <w:color w:val="auto"/>
        </w:rPr>
        <w:lastRenderedPageBreak/>
        <w:t>likelihood as it seeks to make financial adjustments</w:t>
      </w:r>
      <w:r w:rsidR="009B76C1">
        <w:rPr>
          <w:color w:val="auto"/>
        </w:rPr>
        <w:t xml:space="preserve"> in its business plan</w:t>
      </w:r>
      <w:r w:rsidR="00EB1712">
        <w:rPr>
          <w:color w:val="auto"/>
        </w:rPr>
        <w:t>.</w:t>
      </w:r>
      <w:r w:rsidR="009B76C1">
        <w:rPr>
          <w:color w:val="auto"/>
        </w:rPr>
        <w:t xml:space="preserve"> These adjustments will be included in future monitoring reports.</w:t>
      </w:r>
    </w:p>
    <w:p w14:paraId="22744EE1" w14:textId="77777777" w:rsidR="007F6499" w:rsidRPr="007F6499" w:rsidRDefault="007F6499" w:rsidP="007F6499">
      <w:pPr>
        <w:pStyle w:val="ListParagraph"/>
      </w:pPr>
      <w:r>
        <w:t>To mitigate some of these losses</w:t>
      </w:r>
      <w:r w:rsidR="009B76C1">
        <w:t xml:space="preserve"> of income</w:t>
      </w:r>
      <w:r>
        <w:t xml:space="preserve"> the Council will be submitting a claim through the Sales, Fees &amp; Charges compensation scheme which the Government extended to cover lost income up to and including 30</w:t>
      </w:r>
      <w:r w:rsidRPr="007F6499">
        <w:rPr>
          <w:vertAlign w:val="superscript"/>
        </w:rPr>
        <w:t>th</w:t>
      </w:r>
      <w:r>
        <w:t xml:space="preserve"> June.   It is important to note that the scheme, which covers 75% of losses incurred compared to the budget position allowing for a 5% threshold, does not cover commercial losses</w:t>
      </w:r>
      <w:r w:rsidR="00EB1712">
        <w:t xml:space="preserve"> from tenant rents or returns from companies.</w:t>
      </w:r>
    </w:p>
    <w:p w14:paraId="6302E361" w14:textId="77777777" w:rsidR="008D5B32" w:rsidRPr="003A1AD0" w:rsidRDefault="008D5B32" w:rsidP="003976F3">
      <w:pPr>
        <w:pStyle w:val="Heading1"/>
        <w:rPr>
          <w:color w:val="auto"/>
        </w:rPr>
      </w:pPr>
      <w:r w:rsidRPr="003A1AD0">
        <w:rPr>
          <w:rFonts w:eastAsia="Calibri"/>
          <w:color w:val="auto"/>
        </w:rPr>
        <w:t>Housing Revenue Account</w:t>
      </w:r>
      <w:r w:rsidR="002B047B" w:rsidRPr="003A1AD0">
        <w:rPr>
          <w:rFonts w:eastAsia="Calibri"/>
          <w:color w:val="auto"/>
        </w:rPr>
        <w:t xml:space="preserve"> (“the HRA”)</w:t>
      </w:r>
    </w:p>
    <w:p w14:paraId="00D9F1AF" w14:textId="77777777" w:rsidR="004722D2" w:rsidRPr="003A1AD0" w:rsidRDefault="002F567B" w:rsidP="003A1AD0">
      <w:pPr>
        <w:pStyle w:val="ListParagraph"/>
        <w:rPr>
          <w:color w:val="FF0000"/>
        </w:rPr>
      </w:pPr>
      <w:r w:rsidRPr="003A1AD0">
        <w:rPr>
          <w:rFonts w:cs="Arial"/>
          <w:color w:val="auto"/>
        </w:rPr>
        <w:t xml:space="preserve">The </w:t>
      </w:r>
      <w:r w:rsidR="002B047B" w:rsidRPr="003A1AD0">
        <w:rPr>
          <w:rFonts w:cs="Arial"/>
          <w:color w:val="auto"/>
        </w:rPr>
        <w:t xml:space="preserve">HRA </w:t>
      </w:r>
      <w:r w:rsidRPr="003A1AD0">
        <w:rPr>
          <w:rFonts w:cs="Arial"/>
          <w:color w:val="auto"/>
        </w:rPr>
        <w:t>budgeted surplus agreed</w:t>
      </w:r>
      <w:r w:rsidR="00C10C69" w:rsidRPr="003A1AD0">
        <w:rPr>
          <w:rFonts w:cs="Arial"/>
          <w:color w:val="auto"/>
        </w:rPr>
        <w:t xml:space="preserve"> by the Council in February 2021</w:t>
      </w:r>
      <w:r w:rsidRPr="003A1AD0">
        <w:rPr>
          <w:rFonts w:cs="Arial"/>
          <w:color w:val="auto"/>
        </w:rPr>
        <w:t xml:space="preserve"> was £0.</w:t>
      </w:r>
      <w:r w:rsidR="00C10C69" w:rsidRPr="003A1AD0">
        <w:rPr>
          <w:rFonts w:cs="Arial"/>
          <w:color w:val="auto"/>
        </w:rPr>
        <w:t xml:space="preserve">388 </w:t>
      </w:r>
      <w:r w:rsidRPr="003A1AD0">
        <w:rPr>
          <w:rFonts w:cs="Arial"/>
          <w:color w:val="auto"/>
        </w:rPr>
        <w:t xml:space="preserve">million.  The </w:t>
      </w:r>
      <w:r w:rsidR="00EB1712">
        <w:rPr>
          <w:rFonts w:cs="Arial"/>
          <w:color w:val="auto"/>
        </w:rPr>
        <w:t xml:space="preserve">forecast </w:t>
      </w:r>
      <w:r w:rsidRPr="003A1AD0">
        <w:rPr>
          <w:rFonts w:cs="Arial"/>
          <w:color w:val="auto"/>
        </w:rPr>
        <w:t xml:space="preserve">outturn </w:t>
      </w:r>
      <w:r w:rsidR="00EB1712">
        <w:rPr>
          <w:rFonts w:cs="Arial"/>
          <w:color w:val="auto"/>
        </w:rPr>
        <w:t>indicates a surplus of £0.359 million</w:t>
      </w:r>
      <w:r w:rsidR="00B641D9">
        <w:rPr>
          <w:rFonts w:cs="Arial"/>
          <w:color w:val="auto"/>
        </w:rPr>
        <w:t>,</w:t>
      </w:r>
      <w:r w:rsidR="00EB1712">
        <w:rPr>
          <w:rFonts w:cs="Arial"/>
          <w:color w:val="auto"/>
        </w:rPr>
        <w:t xml:space="preserve"> </w:t>
      </w:r>
      <w:r w:rsidR="00C10C69" w:rsidRPr="003A1AD0">
        <w:rPr>
          <w:rFonts w:cs="Arial"/>
          <w:color w:val="auto"/>
        </w:rPr>
        <w:t>a small</w:t>
      </w:r>
      <w:r w:rsidRPr="003A1AD0">
        <w:rPr>
          <w:rFonts w:cs="Arial"/>
          <w:color w:val="auto"/>
        </w:rPr>
        <w:t xml:space="preserve"> adverse variance of £</w:t>
      </w:r>
      <w:r w:rsidR="00C10C69" w:rsidRPr="003A1AD0">
        <w:rPr>
          <w:rFonts w:cs="Arial"/>
          <w:color w:val="auto"/>
        </w:rPr>
        <w:t>0.029 million against the agreed position.   The HRA accounts are showing a significant underspend in the year to date position, this is due to issues arising from the implementation of the new Housing Management System, QL.   Since the system went live on 18</w:t>
      </w:r>
      <w:r w:rsidR="00C10C69" w:rsidRPr="003A1AD0">
        <w:rPr>
          <w:rFonts w:cs="Arial"/>
          <w:color w:val="auto"/>
          <w:vertAlign w:val="superscript"/>
        </w:rPr>
        <w:t>th</w:t>
      </w:r>
      <w:r w:rsidR="00C10C69" w:rsidRPr="003A1AD0">
        <w:rPr>
          <w:rFonts w:cs="Arial"/>
          <w:color w:val="auto"/>
        </w:rPr>
        <w:t xml:space="preserve"> May, no financial information has been available</w:t>
      </w:r>
      <w:r w:rsidR="003A1AD0" w:rsidRPr="003A1AD0">
        <w:rPr>
          <w:rFonts w:cs="Arial"/>
          <w:color w:val="auto"/>
        </w:rPr>
        <w:t xml:space="preserve"> and the project team are working to resolve the issues.</w:t>
      </w:r>
      <w:r w:rsidR="003A1AD0">
        <w:rPr>
          <w:color w:val="auto"/>
        </w:rPr>
        <w:t xml:space="preserve">   The significant forecast changes are explained below:</w:t>
      </w:r>
    </w:p>
    <w:p w14:paraId="44197A33" w14:textId="77777777" w:rsidR="001B5939" w:rsidRPr="00126F0D" w:rsidRDefault="002F567B" w:rsidP="004722D2">
      <w:pPr>
        <w:pStyle w:val="ListParagraph"/>
        <w:numPr>
          <w:ilvl w:val="1"/>
          <w:numId w:val="35"/>
        </w:numPr>
        <w:contextualSpacing/>
        <w:rPr>
          <w:b/>
          <w:color w:val="auto"/>
          <w:sz w:val="22"/>
        </w:rPr>
      </w:pPr>
      <w:r w:rsidRPr="00126F0D">
        <w:rPr>
          <w:color w:val="auto"/>
        </w:rPr>
        <w:t>Dwelling Rent - £</w:t>
      </w:r>
      <w:r w:rsidR="00126F0D" w:rsidRPr="003940F3">
        <w:rPr>
          <w:color w:val="auto"/>
        </w:rPr>
        <w:t xml:space="preserve">1.110 million reduction in rental income </w:t>
      </w:r>
      <w:r w:rsidR="003940F3">
        <w:rPr>
          <w:color w:val="auto"/>
        </w:rPr>
        <w:t xml:space="preserve">is </w:t>
      </w:r>
      <w:r w:rsidR="00126F0D" w:rsidRPr="003940F3">
        <w:rPr>
          <w:color w:val="auto"/>
        </w:rPr>
        <w:t xml:space="preserve">due </w:t>
      </w:r>
      <w:r w:rsidR="009B76C1">
        <w:rPr>
          <w:color w:val="auto"/>
        </w:rPr>
        <w:t xml:space="preserve">to </w:t>
      </w:r>
      <w:r w:rsidR="00C0174C">
        <w:rPr>
          <w:color w:val="auto"/>
        </w:rPr>
        <w:t xml:space="preserve">some development schemes slipping into the next financial year and </w:t>
      </w:r>
      <w:r w:rsidR="009B76C1">
        <w:rPr>
          <w:color w:val="auto"/>
        </w:rPr>
        <w:t xml:space="preserve">the use of a </w:t>
      </w:r>
      <w:r w:rsidR="00126F0D" w:rsidRPr="003940F3">
        <w:rPr>
          <w:color w:val="auto"/>
        </w:rPr>
        <w:t xml:space="preserve">higher inflation rate </w:t>
      </w:r>
      <w:r w:rsidR="009B76C1">
        <w:rPr>
          <w:color w:val="auto"/>
        </w:rPr>
        <w:t>when setting the budget fo</w:t>
      </w:r>
      <w:r w:rsidR="000E2B71">
        <w:rPr>
          <w:color w:val="auto"/>
        </w:rPr>
        <w:t>r</w:t>
      </w:r>
      <w:r w:rsidR="009B76C1">
        <w:rPr>
          <w:color w:val="auto"/>
        </w:rPr>
        <w:t xml:space="preserve"> the rent increase</w:t>
      </w:r>
      <w:r w:rsidR="00126F0D" w:rsidRPr="00126F0D">
        <w:rPr>
          <w:color w:val="auto"/>
          <w:sz w:val="22"/>
        </w:rPr>
        <w:t>;</w:t>
      </w:r>
    </w:p>
    <w:p w14:paraId="2071D624" w14:textId="77777777" w:rsidR="00E65C13" w:rsidRPr="00126F0D" w:rsidRDefault="00820D78" w:rsidP="004722D2">
      <w:pPr>
        <w:pStyle w:val="ListParagraph"/>
        <w:numPr>
          <w:ilvl w:val="1"/>
          <w:numId w:val="35"/>
        </w:numPr>
        <w:contextualSpacing/>
        <w:rPr>
          <w:b/>
          <w:color w:val="auto"/>
          <w:sz w:val="22"/>
        </w:rPr>
      </w:pPr>
      <w:r w:rsidRPr="00126F0D">
        <w:rPr>
          <w:color w:val="auto"/>
        </w:rPr>
        <w:t>Management &amp; Services</w:t>
      </w:r>
      <w:r w:rsidR="00E65C13" w:rsidRPr="00126F0D">
        <w:rPr>
          <w:color w:val="auto"/>
        </w:rPr>
        <w:t xml:space="preserve"> - </w:t>
      </w:r>
      <w:r w:rsidR="00126F0D" w:rsidRPr="00126F0D">
        <w:rPr>
          <w:color w:val="auto"/>
        </w:rPr>
        <w:t>£0.243 million increase in expenditure while Other Revenue Spend has reduced expenditure of £0.304 million, this is mainly a realignment of budgets across the two expenditure lines;</w:t>
      </w:r>
    </w:p>
    <w:p w14:paraId="4A30D953" w14:textId="77777777" w:rsidR="00E65C13" w:rsidRPr="00126F0D" w:rsidRDefault="00126F0D" w:rsidP="004722D2">
      <w:pPr>
        <w:pStyle w:val="ListParagraph"/>
        <w:numPr>
          <w:ilvl w:val="1"/>
          <w:numId w:val="35"/>
        </w:numPr>
        <w:contextualSpacing/>
        <w:rPr>
          <w:b/>
          <w:color w:val="auto"/>
          <w:sz w:val="22"/>
        </w:rPr>
      </w:pPr>
      <w:r w:rsidRPr="00126F0D">
        <w:rPr>
          <w:color w:val="auto"/>
        </w:rPr>
        <w:t>Interest Paid - £1.254 million reduced expenditure to reflect the lower level of loans taken out during 2020/21 due to reduced activity levels during the height of the COVID 19 pandemic.</w:t>
      </w:r>
    </w:p>
    <w:p w14:paraId="4F0E3279" w14:textId="77777777" w:rsidR="00126F0D" w:rsidRPr="00126F0D" w:rsidRDefault="00126F0D" w:rsidP="00126F0D">
      <w:pPr>
        <w:contextualSpacing/>
        <w:rPr>
          <w:b/>
          <w:color w:val="auto"/>
          <w:sz w:val="22"/>
        </w:rPr>
      </w:pPr>
    </w:p>
    <w:p w14:paraId="6EB32651" w14:textId="77777777" w:rsidR="00D122CB" w:rsidRPr="006124CA" w:rsidRDefault="00D122CB" w:rsidP="00D122CB">
      <w:pPr>
        <w:rPr>
          <w:b/>
          <w:color w:val="auto"/>
        </w:rPr>
      </w:pPr>
      <w:r w:rsidRPr="006124CA">
        <w:rPr>
          <w:b/>
          <w:color w:val="auto"/>
        </w:rPr>
        <w:t>Capital</w:t>
      </w:r>
    </w:p>
    <w:p w14:paraId="69D1F3E0" w14:textId="19212A57" w:rsidR="00736955" w:rsidRPr="006633F1" w:rsidRDefault="00D92900" w:rsidP="00D92900">
      <w:pPr>
        <w:pStyle w:val="ListParagraph"/>
        <w:rPr>
          <w:color w:val="FF0000"/>
        </w:rPr>
      </w:pPr>
      <w:r w:rsidRPr="003C6543">
        <w:rPr>
          <w:color w:val="auto"/>
        </w:rPr>
        <w:t xml:space="preserve">The budget, as approved </w:t>
      </w:r>
      <w:r w:rsidR="002B047B" w:rsidRPr="003C6543">
        <w:rPr>
          <w:color w:val="auto"/>
        </w:rPr>
        <w:t>by the</w:t>
      </w:r>
      <w:r w:rsidRPr="003C6543">
        <w:rPr>
          <w:color w:val="auto"/>
        </w:rPr>
        <w:t xml:space="preserve"> Council</w:t>
      </w:r>
      <w:r w:rsidR="002B047B" w:rsidRPr="003C6543">
        <w:rPr>
          <w:color w:val="auto"/>
        </w:rPr>
        <w:t xml:space="preserve"> at its meeting</w:t>
      </w:r>
      <w:r w:rsidRPr="003C6543">
        <w:rPr>
          <w:color w:val="auto"/>
        </w:rPr>
        <w:t xml:space="preserve"> in February 20</w:t>
      </w:r>
      <w:r w:rsidR="006124CA" w:rsidRPr="003C6543">
        <w:rPr>
          <w:color w:val="auto"/>
        </w:rPr>
        <w:t>21</w:t>
      </w:r>
      <w:r w:rsidRPr="003C6543">
        <w:rPr>
          <w:color w:val="auto"/>
        </w:rPr>
        <w:t>, was set at £</w:t>
      </w:r>
      <w:r w:rsidR="006124CA" w:rsidRPr="003C6543">
        <w:rPr>
          <w:color w:val="auto"/>
        </w:rPr>
        <w:t>186.309</w:t>
      </w:r>
      <w:r w:rsidRPr="003C6543">
        <w:rPr>
          <w:color w:val="auto"/>
        </w:rPr>
        <w:t xml:space="preserve"> million.</w:t>
      </w:r>
      <w:r w:rsidR="009A34AD" w:rsidRPr="003C6543">
        <w:rPr>
          <w:color w:val="auto"/>
        </w:rPr>
        <w:t xml:space="preserve"> </w:t>
      </w:r>
      <w:r w:rsidR="00A11896" w:rsidRPr="003C6543">
        <w:rPr>
          <w:color w:val="auto"/>
        </w:rPr>
        <w:t xml:space="preserve">Since that date the budget has been increased by </w:t>
      </w:r>
      <w:r w:rsidR="00476CDE" w:rsidRPr="003C6543">
        <w:rPr>
          <w:color w:val="auto"/>
        </w:rPr>
        <w:t>£</w:t>
      </w:r>
      <w:r w:rsidR="006124CA" w:rsidRPr="003C6543">
        <w:rPr>
          <w:color w:val="auto"/>
        </w:rPr>
        <w:t>10.261</w:t>
      </w:r>
      <w:r w:rsidR="00476CDE" w:rsidRPr="003C6543">
        <w:rPr>
          <w:color w:val="auto"/>
        </w:rPr>
        <w:t xml:space="preserve"> million</w:t>
      </w:r>
      <w:r w:rsidR="00834AED" w:rsidRPr="003C6543">
        <w:rPr>
          <w:color w:val="auto"/>
        </w:rPr>
        <w:t xml:space="preserve"> </w:t>
      </w:r>
      <w:r w:rsidR="00A11896" w:rsidRPr="003C6543">
        <w:rPr>
          <w:color w:val="auto"/>
        </w:rPr>
        <w:t xml:space="preserve">to take account of unspent balances rolled forward from </w:t>
      </w:r>
      <w:r w:rsidR="006124CA" w:rsidRPr="003C6543">
        <w:rPr>
          <w:color w:val="auto"/>
        </w:rPr>
        <w:t>2020-21</w:t>
      </w:r>
      <w:r w:rsidR="00491307" w:rsidRPr="003C6543">
        <w:rPr>
          <w:color w:val="auto"/>
        </w:rPr>
        <w:t>, giving a budget of £</w:t>
      </w:r>
      <w:r w:rsidR="006124CA" w:rsidRPr="003C6543">
        <w:rPr>
          <w:color w:val="auto"/>
        </w:rPr>
        <w:t>196.572</w:t>
      </w:r>
      <w:r w:rsidR="00476CDE" w:rsidRPr="003C6543">
        <w:rPr>
          <w:color w:val="auto"/>
        </w:rPr>
        <w:t xml:space="preserve"> millio</w:t>
      </w:r>
      <w:r w:rsidR="00E41699">
        <w:rPr>
          <w:color w:val="auto"/>
        </w:rPr>
        <w:t>n</w:t>
      </w:r>
      <w:r w:rsidR="00491307" w:rsidRPr="003C6543">
        <w:rPr>
          <w:color w:val="auto"/>
        </w:rPr>
        <w:t>.</w:t>
      </w:r>
      <w:r w:rsidR="00476CDE" w:rsidRPr="003C6543">
        <w:rPr>
          <w:color w:val="auto"/>
        </w:rPr>
        <w:t xml:space="preserve"> </w:t>
      </w:r>
      <w:r w:rsidR="00491307" w:rsidRPr="003C6543">
        <w:rPr>
          <w:color w:val="auto"/>
        </w:rPr>
        <w:t>F</w:t>
      </w:r>
      <w:r w:rsidR="00834AED" w:rsidRPr="003C6543">
        <w:rPr>
          <w:color w:val="auto"/>
        </w:rPr>
        <w:t xml:space="preserve">urther </w:t>
      </w:r>
      <w:r w:rsidR="00A11896" w:rsidRPr="003C6543">
        <w:rPr>
          <w:color w:val="auto"/>
        </w:rPr>
        <w:t>adjust</w:t>
      </w:r>
      <w:r w:rsidR="00834AED" w:rsidRPr="003C6543">
        <w:rPr>
          <w:color w:val="auto"/>
        </w:rPr>
        <w:t xml:space="preserve">ments </w:t>
      </w:r>
      <w:r w:rsidR="00C80AFB" w:rsidRPr="003C6543">
        <w:rPr>
          <w:color w:val="auto"/>
        </w:rPr>
        <w:t xml:space="preserve">since then </w:t>
      </w:r>
      <w:r w:rsidR="00491307" w:rsidRPr="003C6543">
        <w:rPr>
          <w:color w:val="auto"/>
        </w:rPr>
        <w:t xml:space="preserve">have been made which </w:t>
      </w:r>
      <w:r w:rsidR="003C6543" w:rsidRPr="003C6543">
        <w:rPr>
          <w:color w:val="auto"/>
        </w:rPr>
        <w:t>increase</w:t>
      </w:r>
      <w:r w:rsidR="00834AED" w:rsidRPr="003C6543">
        <w:rPr>
          <w:color w:val="auto"/>
        </w:rPr>
        <w:t xml:space="preserve"> the</w:t>
      </w:r>
      <w:r w:rsidR="0044415D" w:rsidRPr="003C6543">
        <w:rPr>
          <w:color w:val="auto"/>
        </w:rPr>
        <w:t xml:space="preserve"> budget by £</w:t>
      </w:r>
      <w:r w:rsidR="003C6543" w:rsidRPr="003C6543">
        <w:rPr>
          <w:color w:val="auto"/>
        </w:rPr>
        <w:t>7.068</w:t>
      </w:r>
      <w:r w:rsidR="0044415D" w:rsidRPr="003C6543">
        <w:rPr>
          <w:color w:val="auto"/>
        </w:rPr>
        <w:t xml:space="preserve"> million</w:t>
      </w:r>
      <w:r w:rsidR="00736955" w:rsidRPr="003C6543">
        <w:rPr>
          <w:color w:val="auto"/>
        </w:rPr>
        <w:t xml:space="preserve"> </w:t>
      </w:r>
      <w:r w:rsidR="00B44E1B" w:rsidRPr="003C6543">
        <w:rPr>
          <w:color w:val="auto"/>
        </w:rPr>
        <w:t>to</w:t>
      </w:r>
      <w:r w:rsidR="00630C9F">
        <w:rPr>
          <w:color w:val="auto"/>
        </w:rPr>
        <w:t xml:space="preserve"> show the latest budget </w:t>
      </w:r>
      <w:r w:rsidR="008A4D6B">
        <w:rPr>
          <w:color w:val="auto"/>
        </w:rPr>
        <w:t>as at 30</w:t>
      </w:r>
      <w:r w:rsidR="008A4D6B" w:rsidRPr="00C0174C">
        <w:rPr>
          <w:color w:val="auto"/>
          <w:vertAlign w:val="superscript"/>
        </w:rPr>
        <w:t>th</w:t>
      </w:r>
      <w:r w:rsidR="008A4D6B">
        <w:rPr>
          <w:color w:val="auto"/>
        </w:rPr>
        <w:t xml:space="preserve"> June </w:t>
      </w:r>
      <w:r w:rsidR="00630C9F">
        <w:rPr>
          <w:color w:val="auto"/>
        </w:rPr>
        <w:t>to be</w:t>
      </w:r>
      <w:r w:rsidR="00B44E1B" w:rsidRPr="003C6543">
        <w:rPr>
          <w:color w:val="auto"/>
        </w:rPr>
        <w:t xml:space="preserve"> £</w:t>
      </w:r>
      <w:r w:rsidR="003C6543" w:rsidRPr="003C6543">
        <w:rPr>
          <w:color w:val="auto"/>
        </w:rPr>
        <w:t>203.608</w:t>
      </w:r>
      <w:r w:rsidR="00736955" w:rsidRPr="003C6543">
        <w:rPr>
          <w:color w:val="auto"/>
        </w:rPr>
        <w:t xml:space="preserve"> million.  </w:t>
      </w:r>
      <w:r w:rsidR="00DD4470">
        <w:rPr>
          <w:color w:val="auto"/>
        </w:rPr>
        <w:t>In the current circumstance capital expenditure may be affected, this will be reviewed over the quarter and an updated position on likely spend for the year will be reported in the next report.</w:t>
      </w:r>
    </w:p>
    <w:p w14:paraId="3685BB5B" w14:textId="77777777" w:rsidR="00325E71" w:rsidRPr="00D2163E" w:rsidRDefault="00C80AFB" w:rsidP="00D92900">
      <w:pPr>
        <w:pStyle w:val="ListParagraph"/>
        <w:rPr>
          <w:color w:val="auto"/>
        </w:rPr>
      </w:pPr>
      <w:r w:rsidRPr="00D2163E">
        <w:rPr>
          <w:color w:val="auto"/>
        </w:rPr>
        <w:t xml:space="preserve">Further net slippage of </w:t>
      </w:r>
      <w:r w:rsidR="00D2163E" w:rsidRPr="00D2163E">
        <w:rPr>
          <w:color w:val="auto"/>
        </w:rPr>
        <w:t>£</w:t>
      </w:r>
      <w:r w:rsidR="00630C9F">
        <w:rPr>
          <w:color w:val="auto"/>
        </w:rPr>
        <w:t>8.711</w:t>
      </w:r>
      <w:r w:rsidRPr="00D2163E">
        <w:rPr>
          <w:color w:val="auto"/>
        </w:rPr>
        <w:t xml:space="preserve"> million </w:t>
      </w:r>
      <w:r w:rsidR="00D2163E" w:rsidRPr="00D2163E">
        <w:rPr>
          <w:color w:val="auto"/>
        </w:rPr>
        <w:t>together with underspends of £4.000 million results in a forecast outturn of £190.897 million</w:t>
      </w:r>
      <w:r w:rsidR="00630C9F">
        <w:rPr>
          <w:color w:val="auto"/>
        </w:rPr>
        <w:t>.</w:t>
      </w:r>
      <w:r w:rsidR="00325E71" w:rsidRPr="00D2163E">
        <w:rPr>
          <w:color w:val="auto"/>
        </w:rPr>
        <w:t xml:space="preserve"> </w:t>
      </w:r>
      <w:r w:rsidR="00A7477D" w:rsidRPr="00D2163E">
        <w:rPr>
          <w:color w:val="auto"/>
        </w:rPr>
        <w:t xml:space="preserve"> </w:t>
      </w:r>
      <w:r w:rsidR="00325E71" w:rsidRPr="00D2163E">
        <w:rPr>
          <w:color w:val="auto"/>
        </w:rPr>
        <w:t xml:space="preserve">The main items </w:t>
      </w:r>
      <w:r w:rsidR="006C6AFD" w:rsidRPr="00D2163E">
        <w:rPr>
          <w:color w:val="auto"/>
        </w:rPr>
        <w:t>which are being re</w:t>
      </w:r>
      <w:r w:rsidR="003C0757" w:rsidRPr="00D2163E">
        <w:rPr>
          <w:color w:val="auto"/>
        </w:rPr>
        <w:t>-</w:t>
      </w:r>
      <w:r w:rsidR="006C6AFD" w:rsidRPr="00D2163E">
        <w:rPr>
          <w:color w:val="auto"/>
        </w:rPr>
        <w:t xml:space="preserve">timetabled </w:t>
      </w:r>
      <w:r w:rsidR="00452FEE" w:rsidRPr="00D2163E">
        <w:rPr>
          <w:color w:val="auto"/>
        </w:rPr>
        <w:t>are:</w:t>
      </w:r>
    </w:p>
    <w:p w14:paraId="437169E0" w14:textId="77777777" w:rsidR="00452FEE" w:rsidRPr="00D2163E" w:rsidRDefault="00452FEE" w:rsidP="00452FEE">
      <w:pPr>
        <w:ind w:left="426"/>
        <w:rPr>
          <w:b/>
          <w:color w:val="auto"/>
        </w:rPr>
      </w:pPr>
      <w:r w:rsidRPr="00D2163E">
        <w:rPr>
          <w:b/>
          <w:color w:val="auto"/>
        </w:rPr>
        <w:t>General Fund</w:t>
      </w:r>
    </w:p>
    <w:p w14:paraId="70F78BB7" w14:textId="77777777" w:rsidR="00452FEE" w:rsidRPr="00D2163E" w:rsidRDefault="00D2163E" w:rsidP="00452FEE">
      <w:pPr>
        <w:pStyle w:val="ListParagraph"/>
        <w:numPr>
          <w:ilvl w:val="0"/>
          <w:numId w:val="38"/>
        </w:numPr>
        <w:rPr>
          <w:color w:val="auto"/>
        </w:rPr>
      </w:pPr>
      <w:r w:rsidRPr="00D2163E">
        <w:rPr>
          <w:color w:val="auto"/>
        </w:rPr>
        <w:t>East Oxford Community Centre - £3.030 million slippage – key dates have been agreed and the refurbishment will start towards the end of 2021, with stakeholder engagement currently underway;</w:t>
      </w:r>
    </w:p>
    <w:p w14:paraId="63B7E769" w14:textId="77777777" w:rsidR="00452FEE" w:rsidRPr="00D2163E" w:rsidRDefault="00D2163E" w:rsidP="00452FEE">
      <w:pPr>
        <w:pStyle w:val="ListParagraph"/>
        <w:numPr>
          <w:ilvl w:val="0"/>
          <w:numId w:val="38"/>
        </w:numPr>
        <w:rPr>
          <w:color w:val="auto"/>
        </w:rPr>
      </w:pPr>
      <w:proofErr w:type="spellStart"/>
      <w:r w:rsidRPr="00D2163E">
        <w:rPr>
          <w:color w:val="auto"/>
        </w:rPr>
        <w:t>Osney</w:t>
      </w:r>
      <w:proofErr w:type="spellEnd"/>
      <w:r w:rsidRPr="00D2163E">
        <w:rPr>
          <w:color w:val="auto"/>
        </w:rPr>
        <w:t xml:space="preserve"> Mead Infrastructure - £0.710 million slippage – overall scheme slippage due to delays with the </w:t>
      </w:r>
      <w:r w:rsidR="008A4D6B">
        <w:rPr>
          <w:color w:val="auto"/>
        </w:rPr>
        <w:t>Oxford Flood Alleviation Scheme (</w:t>
      </w:r>
      <w:r w:rsidRPr="00D2163E">
        <w:rPr>
          <w:color w:val="auto"/>
        </w:rPr>
        <w:t>OFAS</w:t>
      </w:r>
      <w:r w:rsidR="008A4D6B">
        <w:rPr>
          <w:color w:val="auto"/>
        </w:rPr>
        <w:t>)</w:t>
      </w:r>
      <w:r w:rsidRPr="00D2163E">
        <w:rPr>
          <w:color w:val="auto"/>
        </w:rPr>
        <w:t xml:space="preserve">  </w:t>
      </w:r>
      <w:r w:rsidRPr="00D2163E">
        <w:rPr>
          <w:color w:val="auto"/>
        </w:rPr>
        <w:lastRenderedPageBreak/>
        <w:t>and the need to negotiate with the Environment Agency and also with Homes England regarding the funding drawdown;</w:t>
      </w:r>
    </w:p>
    <w:p w14:paraId="213591C5" w14:textId="77777777" w:rsidR="00452FEE" w:rsidRPr="00D2163E" w:rsidRDefault="00D2163E" w:rsidP="00452FEE">
      <w:pPr>
        <w:pStyle w:val="ListParagraph"/>
        <w:numPr>
          <w:ilvl w:val="0"/>
          <w:numId w:val="38"/>
        </w:numPr>
        <w:rPr>
          <w:color w:val="auto"/>
        </w:rPr>
      </w:pPr>
      <w:r w:rsidRPr="00D2163E">
        <w:rPr>
          <w:color w:val="auto"/>
        </w:rPr>
        <w:t>City Cycle Schemes - £0.212 million slippage – the scheme is currently in planning but some sites have received objections and this is delaying the delivery of the scheme;</w:t>
      </w:r>
    </w:p>
    <w:p w14:paraId="1F25F841" w14:textId="77777777" w:rsidR="00452FEE" w:rsidRDefault="007A3813" w:rsidP="00452FEE">
      <w:pPr>
        <w:pStyle w:val="ListParagraph"/>
        <w:numPr>
          <w:ilvl w:val="0"/>
          <w:numId w:val="38"/>
        </w:numPr>
        <w:rPr>
          <w:color w:val="auto"/>
        </w:rPr>
      </w:pPr>
      <w:r w:rsidRPr="007A3813">
        <w:rPr>
          <w:color w:val="auto"/>
        </w:rPr>
        <w:t>M</w:t>
      </w:r>
      <w:r w:rsidR="008A4D6B">
        <w:rPr>
          <w:color w:val="auto"/>
        </w:rPr>
        <w:t xml:space="preserve">otor </w:t>
      </w:r>
      <w:r w:rsidRPr="007A3813">
        <w:rPr>
          <w:color w:val="auto"/>
        </w:rPr>
        <w:t>T</w:t>
      </w:r>
      <w:r w:rsidR="008A4D6B">
        <w:rPr>
          <w:color w:val="auto"/>
        </w:rPr>
        <w:t>ransport</w:t>
      </w:r>
      <w:r w:rsidR="00D2163E" w:rsidRPr="007A3813">
        <w:rPr>
          <w:color w:val="auto"/>
        </w:rPr>
        <w:t xml:space="preserve"> Vehicle Replacement programme - £0.777 million slippage as the programme of replacement is being reviewed, some vehicles may be delayed while others are brought forward;</w:t>
      </w:r>
    </w:p>
    <w:p w14:paraId="0EB1863F" w14:textId="77777777" w:rsidR="00C80AFB" w:rsidRPr="006633F1" w:rsidRDefault="00C80AFB" w:rsidP="00BA6A54">
      <w:pPr>
        <w:rPr>
          <w:color w:val="FF0000"/>
        </w:rPr>
      </w:pPr>
    </w:p>
    <w:p w14:paraId="4B77CDF1" w14:textId="77777777" w:rsidR="00927B21" w:rsidRPr="007A3813" w:rsidRDefault="00523412" w:rsidP="007A3813">
      <w:pPr>
        <w:ind w:left="786" w:hanging="360"/>
        <w:rPr>
          <w:b/>
          <w:color w:val="auto"/>
        </w:rPr>
      </w:pPr>
      <w:r w:rsidRPr="007A3813">
        <w:rPr>
          <w:b/>
          <w:color w:val="auto"/>
        </w:rPr>
        <w:t>H</w:t>
      </w:r>
      <w:r w:rsidR="00927B21" w:rsidRPr="007A3813">
        <w:rPr>
          <w:b/>
          <w:color w:val="auto"/>
        </w:rPr>
        <w:t xml:space="preserve">ousing </w:t>
      </w:r>
      <w:r w:rsidRPr="007A3813">
        <w:rPr>
          <w:b/>
          <w:color w:val="auto"/>
        </w:rPr>
        <w:t>R</w:t>
      </w:r>
      <w:r w:rsidR="00927B21" w:rsidRPr="007A3813">
        <w:rPr>
          <w:b/>
          <w:color w:val="auto"/>
        </w:rPr>
        <w:t xml:space="preserve">evenue </w:t>
      </w:r>
      <w:r w:rsidRPr="007A3813">
        <w:rPr>
          <w:b/>
          <w:color w:val="auto"/>
        </w:rPr>
        <w:t>A</w:t>
      </w:r>
      <w:r w:rsidR="00927B21" w:rsidRPr="007A3813">
        <w:rPr>
          <w:b/>
          <w:color w:val="auto"/>
        </w:rPr>
        <w:t>ccount</w:t>
      </w:r>
    </w:p>
    <w:p w14:paraId="4E247316" w14:textId="77777777" w:rsidR="007A3813" w:rsidRPr="007A3813" w:rsidRDefault="007A3813" w:rsidP="007A3813">
      <w:pPr>
        <w:pStyle w:val="ListParagraph"/>
        <w:numPr>
          <w:ilvl w:val="0"/>
          <w:numId w:val="38"/>
        </w:numPr>
        <w:rPr>
          <w:color w:val="auto"/>
        </w:rPr>
      </w:pPr>
      <w:r w:rsidRPr="007A3813">
        <w:rPr>
          <w:color w:val="auto"/>
        </w:rPr>
        <w:t>East Oxford Development – slippage of £0.263 million – this links with the General Fund scheme which is also slipping</w:t>
      </w:r>
      <w:r>
        <w:rPr>
          <w:color w:val="auto"/>
        </w:rPr>
        <w:t>;</w:t>
      </w:r>
    </w:p>
    <w:p w14:paraId="675FF958" w14:textId="77777777" w:rsidR="000E2B71" w:rsidRDefault="007A3813" w:rsidP="00AC3073">
      <w:pPr>
        <w:pStyle w:val="ListParagraph"/>
        <w:numPr>
          <w:ilvl w:val="0"/>
          <w:numId w:val="38"/>
        </w:numPr>
        <w:rPr>
          <w:color w:val="auto"/>
        </w:rPr>
      </w:pPr>
      <w:r w:rsidRPr="00AC3073">
        <w:rPr>
          <w:color w:val="auto"/>
        </w:rPr>
        <w:t xml:space="preserve">Properties purchased from OCHL – </w:t>
      </w:r>
      <w:r w:rsidR="00AC3073" w:rsidRPr="00AC3073">
        <w:rPr>
          <w:color w:val="auto"/>
        </w:rPr>
        <w:t xml:space="preserve">the budget for this item has been increased by £10.5 million </w:t>
      </w:r>
      <w:r w:rsidR="00AF0804">
        <w:rPr>
          <w:color w:val="auto"/>
        </w:rPr>
        <w:t xml:space="preserve">to take account of additional stage payments to Oxford City Housing Ltd (OCHL) with regard the purchase of social housing together with payment for an additional 17 social dwellings at </w:t>
      </w:r>
      <w:proofErr w:type="spellStart"/>
      <w:r w:rsidR="00AF0804">
        <w:rPr>
          <w:color w:val="auto"/>
        </w:rPr>
        <w:t>Elsfield</w:t>
      </w:r>
      <w:proofErr w:type="spellEnd"/>
      <w:r w:rsidR="00AF0804">
        <w:rPr>
          <w:color w:val="auto"/>
        </w:rPr>
        <w:t xml:space="preserve"> </w:t>
      </w:r>
      <w:r w:rsidR="000E2B71">
        <w:rPr>
          <w:color w:val="auto"/>
        </w:rPr>
        <w:t xml:space="preserve"> </w:t>
      </w:r>
    </w:p>
    <w:p w14:paraId="67ED8374" w14:textId="77777777" w:rsidR="007A3813" w:rsidRDefault="000E2B71" w:rsidP="00AC3073">
      <w:pPr>
        <w:pStyle w:val="ListParagraph"/>
        <w:numPr>
          <w:ilvl w:val="0"/>
          <w:numId w:val="38"/>
        </w:numPr>
        <w:rPr>
          <w:color w:val="auto"/>
        </w:rPr>
      </w:pPr>
      <w:r>
        <w:rPr>
          <w:color w:val="auto"/>
        </w:rPr>
        <w:t xml:space="preserve"> D</w:t>
      </w:r>
      <w:r w:rsidR="007A3813" w:rsidRPr="00AC3073">
        <w:rPr>
          <w:color w:val="auto"/>
        </w:rPr>
        <w:t>evelopment sites</w:t>
      </w:r>
      <w:r>
        <w:rPr>
          <w:color w:val="auto"/>
        </w:rPr>
        <w:t xml:space="preserve"> at </w:t>
      </w:r>
      <w:r w:rsidR="007A3813" w:rsidRPr="00AC3073">
        <w:rPr>
          <w:color w:val="auto"/>
        </w:rPr>
        <w:t xml:space="preserve">Northfield Hostel, Lanham Way, unallocated site </w:t>
      </w:r>
      <w:proofErr w:type="gramStart"/>
      <w:r w:rsidR="007A3813" w:rsidRPr="00AC3073">
        <w:rPr>
          <w:color w:val="auto"/>
        </w:rPr>
        <w:t>1  and</w:t>
      </w:r>
      <w:proofErr w:type="gramEnd"/>
      <w:r w:rsidR="007A3813" w:rsidRPr="00AC3073">
        <w:rPr>
          <w:color w:val="auto"/>
        </w:rPr>
        <w:t xml:space="preserve"> Juniper Way - £14.459 million slippage across the </w:t>
      </w:r>
      <w:r w:rsidR="00CC3C84">
        <w:rPr>
          <w:color w:val="auto"/>
        </w:rPr>
        <w:t>four</w:t>
      </w:r>
      <w:r w:rsidR="00CC3C84" w:rsidRPr="00AC3073">
        <w:rPr>
          <w:color w:val="auto"/>
        </w:rPr>
        <w:t xml:space="preserve"> </w:t>
      </w:r>
      <w:r w:rsidR="007A3813" w:rsidRPr="00AC3073">
        <w:rPr>
          <w:color w:val="auto"/>
        </w:rPr>
        <w:t>site</w:t>
      </w:r>
      <w:r>
        <w:rPr>
          <w:color w:val="auto"/>
        </w:rPr>
        <w:t>s to 2021-22</w:t>
      </w:r>
      <w:r w:rsidR="007A3813" w:rsidRPr="00AC3073">
        <w:rPr>
          <w:color w:val="auto"/>
        </w:rPr>
        <w:t xml:space="preserve"> – all schemes are progressing but are at different stages with some at pre planning and consultation while others are at the feasibility stage.</w:t>
      </w:r>
    </w:p>
    <w:p w14:paraId="1DD8D4DB" w14:textId="77777777" w:rsidR="00C0174C" w:rsidRPr="00124521" w:rsidRDefault="00CC3C84" w:rsidP="00AC3073">
      <w:pPr>
        <w:pStyle w:val="ListParagraph"/>
        <w:numPr>
          <w:ilvl w:val="0"/>
          <w:numId w:val="38"/>
        </w:numPr>
        <w:rPr>
          <w:color w:val="auto"/>
        </w:rPr>
      </w:pPr>
      <w:r>
        <w:rPr>
          <w:color w:val="auto"/>
        </w:rPr>
        <w:t>Unallocated Site 2 – underspend of £4 million which is to be</w:t>
      </w:r>
      <w:r w:rsidR="000E2B71">
        <w:rPr>
          <w:color w:val="auto"/>
        </w:rPr>
        <w:t>ing</w:t>
      </w:r>
      <w:r>
        <w:rPr>
          <w:color w:val="auto"/>
        </w:rPr>
        <w:t xml:space="preserve"> used to fund the change of tenure types on the </w:t>
      </w:r>
      <w:proofErr w:type="spellStart"/>
      <w:r>
        <w:rPr>
          <w:color w:val="auto"/>
        </w:rPr>
        <w:t>Elsfield</w:t>
      </w:r>
      <w:proofErr w:type="spellEnd"/>
      <w:r>
        <w:rPr>
          <w:color w:val="auto"/>
        </w:rPr>
        <w:t xml:space="preserve"> development</w:t>
      </w:r>
      <w:r w:rsidR="00AF0804">
        <w:rPr>
          <w:color w:val="auto"/>
        </w:rPr>
        <w:t xml:space="preserve"> referred to above</w:t>
      </w:r>
    </w:p>
    <w:p w14:paraId="226A95A0" w14:textId="77777777" w:rsidR="001A7F68" w:rsidRDefault="000E2B71" w:rsidP="00802422">
      <w:pPr>
        <w:pStyle w:val="ListParagraph"/>
        <w:rPr>
          <w:color w:val="auto"/>
        </w:rPr>
      </w:pPr>
      <w:r>
        <w:rPr>
          <w:color w:val="auto"/>
        </w:rPr>
        <w:t xml:space="preserve">On </w:t>
      </w:r>
      <w:r w:rsidR="001A7F68">
        <w:rPr>
          <w:color w:val="auto"/>
        </w:rPr>
        <w:t>9</w:t>
      </w:r>
      <w:r w:rsidR="001A7F68" w:rsidRPr="00D354EF">
        <w:rPr>
          <w:color w:val="auto"/>
          <w:vertAlign w:val="superscript"/>
        </w:rPr>
        <w:t>th</w:t>
      </w:r>
      <w:r w:rsidR="001A7F68">
        <w:rPr>
          <w:color w:val="auto"/>
        </w:rPr>
        <w:t xml:space="preserve"> September 2020 </w:t>
      </w:r>
      <w:r>
        <w:rPr>
          <w:color w:val="auto"/>
        </w:rPr>
        <w:t xml:space="preserve">a report was taken to Cabinet in respect of works at Northern Gateway. The report sought approval from Cabinet to enter into an agreement with Thomas White Oxford (TWO) to deliver infrastructure works to Northern Gateway funded by Housing Infrastructure Funds (HIF) from Homes England. Under the Councils Constitution a resolution should have been made by Cabinet to Council to establish a capital budget to enable payment of the monies but unfortunately this was overlooked. Agreement has been made to commence payment of the funds </w:t>
      </w:r>
      <w:r w:rsidR="001A7F68">
        <w:rPr>
          <w:color w:val="auto"/>
        </w:rPr>
        <w:t>£2.7 million in 2021/22 and £7.3 million in 2022/23</w:t>
      </w:r>
      <w:r>
        <w:rPr>
          <w:color w:val="auto"/>
        </w:rPr>
        <w:t xml:space="preserve"> and this report seeks the approval to do so in accordance with the Co</w:t>
      </w:r>
      <w:r w:rsidR="00AE0FC6">
        <w:rPr>
          <w:color w:val="auto"/>
        </w:rPr>
        <w:t>n</w:t>
      </w:r>
      <w:r>
        <w:rPr>
          <w:color w:val="auto"/>
        </w:rPr>
        <w:t>stitution</w:t>
      </w:r>
      <w:r w:rsidR="001A7F68">
        <w:rPr>
          <w:color w:val="auto"/>
        </w:rPr>
        <w:t>.</w:t>
      </w:r>
      <w:r>
        <w:rPr>
          <w:color w:val="auto"/>
        </w:rPr>
        <w:t xml:space="preserve"> For convenience the report referred to may be found at :</w:t>
      </w:r>
    </w:p>
    <w:p w14:paraId="6DFADA36" w14:textId="77777777" w:rsidR="000E2B71" w:rsidRDefault="00AE0FC6" w:rsidP="000E2B71">
      <w:pPr>
        <w:rPr>
          <w:color w:val="auto"/>
        </w:rPr>
      </w:pPr>
      <w:r>
        <w:rPr>
          <w:color w:val="auto"/>
        </w:rPr>
        <w:tab/>
      </w:r>
      <w:hyperlink r:id="rId8" w:history="1">
        <w:r w:rsidR="000E2B71" w:rsidRPr="006E3678">
          <w:rPr>
            <w:rStyle w:val="Hyperlink"/>
          </w:rPr>
          <w:t>http://mycouncilpages.oxford.gov.uk/ieListDocuments.aspx?CId=527&amp;MId=5575</w:t>
        </w:r>
      </w:hyperlink>
    </w:p>
    <w:p w14:paraId="6DA103E8" w14:textId="77777777" w:rsidR="001A7F68" w:rsidRPr="00E958CD" w:rsidRDefault="001A7F68" w:rsidP="001A7F68">
      <w:pPr>
        <w:pStyle w:val="Heading1"/>
        <w:rPr>
          <w:color w:val="auto"/>
        </w:rPr>
      </w:pPr>
      <w:r w:rsidRPr="00E958CD">
        <w:rPr>
          <w:color w:val="auto"/>
        </w:rPr>
        <w:t>Corporate Risk</w:t>
      </w:r>
    </w:p>
    <w:p w14:paraId="3E29245A" w14:textId="0B63C7EB" w:rsidR="00FA10A6" w:rsidRPr="00630C9F" w:rsidRDefault="00FA10A6" w:rsidP="00802422">
      <w:pPr>
        <w:pStyle w:val="ListParagraph"/>
        <w:rPr>
          <w:color w:val="auto"/>
        </w:rPr>
      </w:pPr>
      <w:r w:rsidRPr="00630C9F">
        <w:rPr>
          <w:color w:val="auto"/>
        </w:rPr>
        <w:t xml:space="preserve">There </w:t>
      </w:r>
      <w:r w:rsidR="00952FBA" w:rsidRPr="00630C9F">
        <w:rPr>
          <w:color w:val="auto"/>
        </w:rPr>
        <w:t xml:space="preserve">are </w:t>
      </w:r>
      <w:r w:rsidR="00B834BD">
        <w:rPr>
          <w:color w:val="auto"/>
        </w:rPr>
        <w:t>two</w:t>
      </w:r>
      <w:r w:rsidR="00952FBA" w:rsidRPr="00630C9F">
        <w:rPr>
          <w:color w:val="auto"/>
        </w:rPr>
        <w:t xml:space="preserve"> red </w:t>
      </w:r>
      <w:r w:rsidR="00A11423" w:rsidRPr="00630C9F">
        <w:rPr>
          <w:color w:val="auto"/>
        </w:rPr>
        <w:t>risk</w:t>
      </w:r>
      <w:r w:rsidRPr="00630C9F">
        <w:rPr>
          <w:color w:val="auto"/>
        </w:rPr>
        <w:t>s</w:t>
      </w:r>
      <w:r w:rsidR="00D04C25" w:rsidRPr="00630C9F">
        <w:rPr>
          <w:color w:val="auto"/>
        </w:rPr>
        <w:t xml:space="preserve"> on the current Corporate Risk R</w:t>
      </w:r>
      <w:r w:rsidR="00A11423" w:rsidRPr="00630C9F">
        <w:rPr>
          <w:color w:val="auto"/>
        </w:rPr>
        <w:t xml:space="preserve">egister, which </w:t>
      </w:r>
      <w:r w:rsidR="00952FBA" w:rsidRPr="00630C9F">
        <w:rPr>
          <w:color w:val="auto"/>
        </w:rPr>
        <w:t>are</w:t>
      </w:r>
      <w:r w:rsidRPr="00630C9F">
        <w:rPr>
          <w:color w:val="auto"/>
        </w:rPr>
        <w:t xml:space="preserve"> as follows:</w:t>
      </w:r>
    </w:p>
    <w:p w14:paraId="4B646477" w14:textId="77777777" w:rsidR="00952FBA" w:rsidRPr="00630C9F" w:rsidRDefault="00952FBA" w:rsidP="00952FBA">
      <w:pPr>
        <w:numPr>
          <w:ilvl w:val="1"/>
          <w:numId w:val="37"/>
        </w:numPr>
        <w:spacing w:after="0"/>
        <w:ind w:left="1134" w:hanging="425"/>
        <w:rPr>
          <w:rFonts w:cs="Arial"/>
          <w:color w:val="auto"/>
        </w:rPr>
      </w:pPr>
      <w:r w:rsidRPr="00630C9F">
        <w:rPr>
          <w:rFonts w:cs="Arial"/>
          <w:b/>
          <w:color w:val="auto"/>
        </w:rPr>
        <w:t>Housing</w:t>
      </w:r>
      <w:r w:rsidRPr="00630C9F">
        <w:rPr>
          <w:rFonts w:cs="Arial"/>
          <w:color w:val="auto"/>
        </w:rPr>
        <w:t xml:space="preserve"> – the Council has key priorities around housing which include ensuring housi</w:t>
      </w:r>
      <w:r w:rsidR="00927B21" w:rsidRPr="00630C9F">
        <w:rPr>
          <w:rFonts w:cs="Arial"/>
          <w:color w:val="auto"/>
        </w:rPr>
        <w:t>ng delivery and supply for the c</w:t>
      </w:r>
      <w:r w:rsidRPr="00630C9F">
        <w:rPr>
          <w:rFonts w:cs="Arial"/>
          <w:color w:val="auto"/>
        </w:rPr>
        <w:t xml:space="preserve">ity of Oxford and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w:t>
      </w:r>
      <w:r w:rsidRPr="00630C9F">
        <w:rPr>
          <w:rFonts w:cs="Arial"/>
          <w:color w:val="auto"/>
        </w:rPr>
        <w:lastRenderedPageBreak/>
        <w:t>purchases to be delivered via real</w:t>
      </w:r>
      <w:r w:rsidRPr="00630C9F" w:rsidDel="0081475D">
        <w:rPr>
          <w:rFonts w:cs="Arial"/>
          <w:color w:val="auto"/>
        </w:rPr>
        <w:t xml:space="preserve"> </w:t>
      </w:r>
      <w:r w:rsidRPr="00630C9F">
        <w:rPr>
          <w:rFonts w:cs="Arial"/>
          <w:color w:val="auto"/>
        </w:rPr>
        <w:t>lettings. In addition the Council’s housing companies are in the process of constructing new affordable homes and the Cabinet has approved plans which will result in the Council’s Housing Revenue Account (“HRA”) purchasing the social housing using borrowing headroom,</w:t>
      </w:r>
      <w:r w:rsidR="00630C9F" w:rsidRPr="00630C9F">
        <w:rPr>
          <w:rFonts w:cs="Arial"/>
          <w:color w:val="auto"/>
        </w:rPr>
        <w:t xml:space="preserve"> following the removal of the HRA borrowing cap by central gover</w:t>
      </w:r>
      <w:r w:rsidR="008A4D6B">
        <w:rPr>
          <w:rFonts w:cs="Arial"/>
          <w:color w:val="auto"/>
        </w:rPr>
        <w:t>n</w:t>
      </w:r>
      <w:r w:rsidR="00630C9F" w:rsidRPr="00630C9F">
        <w:rPr>
          <w:rFonts w:cs="Arial"/>
          <w:color w:val="auto"/>
        </w:rPr>
        <w:t>ment</w:t>
      </w:r>
      <w:r w:rsidRPr="00630C9F">
        <w:rPr>
          <w:rFonts w:cs="Arial"/>
          <w:color w:val="auto"/>
        </w:rPr>
        <w:t xml:space="preserve"> . This has become more challenging in the short term due to the Covid-19 pandemic which has paused any </w:t>
      </w:r>
      <w:r w:rsidR="001A70AB" w:rsidRPr="00630C9F">
        <w:rPr>
          <w:rFonts w:cs="Arial"/>
          <w:color w:val="auto"/>
        </w:rPr>
        <w:t xml:space="preserve">delivery </w:t>
      </w:r>
      <w:r w:rsidR="00630C9F" w:rsidRPr="00630C9F">
        <w:rPr>
          <w:rFonts w:cs="Arial"/>
          <w:color w:val="auto"/>
        </w:rPr>
        <w:t>in the housing supply;</w:t>
      </w:r>
    </w:p>
    <w:p w14:paraId="656F05EA" w14:textId="77777777" w:rsidR="00952FBA" w:rsidRPr="00630C9F" w:rsidRDefault="00952FBA" w:rsidP="00952FBA">
      <w:pPr>
        <w:ind w:left="1855"/>
        <w:rPr>
          <w:rFonts w:cs="Arial"/>
          <w:color w:val="auto"/>
        </w:rPr>
      </w:pPr>
    </w:p>
    <w:p w14:paraId="6F42D64B" w14:textId="77777777" w:rsidR="00952FBA" w:rsidRPr="00EB50A5" w:rsidRDefault="00952FBA" w:rsidP="00952FBA">
      <w:pPr>
        <w:numPr>
          <w:ilvl w:val="1"/>
          <w:numId w:val="37"/>
        </w:numPr>
        <w:spacing w:after="0"/>
        <w:ind w:left="1134" w:hanging="425"/>
        <w:rPr>
          <w:rFonts w:cs="Arial"/>
          <w:color w:val="auto"/>
        </w:rPr>
      </w:pPr>
      <w:r w:rsidRPr="00630C9F">
        <w:rPr>
          <w:rFonts w:cs="Arial"/>
          <w:b/>
          <w:color w:val="auto"/>
        </w:rPr>
        <w:t>Economic Growth</w:t>
      </w:r>
      <w:r w:rsidRPr="00630C9F">
        <w:rPr>
          <w:rFonts w:cs="Arial"/>
          <w:color w:val="auto"/>
        </w:rPr>
        <w:t xml:space="preserve"> – this relates to local, national or international factors adversely </w:t>
      </w:r>
      <w:r w:rsidRPr="00EB50A5">
        <w:rPr>
          <w:rFonts w:cs="Arial"/>
          <w:color w:val="auto"/>
        </w:rPr>
        <w:t>affecting the economic growth of the City.</w:t>
      </w:r>
      <w:r w:rsidR="00630C9F" w:rsidRPr="00EB50A5">
        <w:rPr>
          <w:rFonts w:cs="Arial"/>
          <w:color w:val="auto"/>
        </w:rPr>
        <w:t xml:space="preserve">  Despite some positive trends, the Risk still remains at Red.  Issues relating to inflation, labour market supply, global economy, COVID levels locally, border arrangements, local business support being scaled back and business rates commencing suggest that there are still numerous risks;</w:t>
      </w:r>
      <w:r w:rsidRPr="00EB50A5">
        <w:rPr>
          <w:rFonts w:cs="Arial"/>
          <w:color w:val="auto"/>
        </w:rPr>
        <w:t xml:space="preserve"> </w:t>
      </w:r>
    </w:p>
    <w:p w14:paraId="7223F7D9" w14:textId="77777777" w:rsidR="00952FBA" w:rsidRPr="00EB50A5" w:rsidRDefault="00952FBA" w:rsidP="00952FBA">
      <w:pPr>
        <w:pStyle w:val="ListParagraph"/>
        <w:numPr>
          <w:ilvl w:val="0"/>
          <w:numId w:val="0"/>
        </w:numPr>
        <w:ind w:left="426"/>
        <w:rPr>
          <w:rFonts w:cs="Arial"/>
          <w:color w:val="auto"/>
        </w:rPr>
      </w:pPr>
    </w:p>
    <w:p w14:paraId="21163CE1" w14:textId="77777777" w:rsidR="00BC254C" w:rsidRPr="00EB50A5" w:rsidRDefault="00BC254C" w:rsidP="00BD733A">
      <w:pPr>
        <w:pStyle w:val="ListParagraph"/>
        <w:rPr>
          <w:color w:val="auto"/>
        </w:rPr>
      </w:pPr>
      <w:r w:rsidRPr="00EB50A5">
        <w:rPr>
          <w:color w:val="auto"/>
        </w:rPr>
        <w:t>The table below shows the level of Red, Amber and Green current risks over the last 12 months:</w:t>
      </w:r>
    </w:p>
    <w:tbl>
      <w:tblPr>
        <w:tblStyle w:val="TableGrid"/>
        <w:tblW w:w="0" w:type="auto"/>
        <w:tblInd w:w="426" w:type="dxa"/>
        <w:tblLook w:val="04A0" w:firstRow="1" w:lastRow="0" w:firstColumn="1" w:lastColumn="0" w:noHBand="0" w:noVBand="1"/>
      </w:tblPr>
      <w:tblGrid>
        <w:gridCol w:w="1774"/>
        <w:gridCol w:w="1197"/>
        <w:gridCol w:w="1134"/>
        <w:gridCol w:w="1276"/>
        <w:gridCol w:w="1418"/>
      </w:tblGrid>
      <w:tr w:rsidR="00EB50A5" w:rsidRPr="00EB50A5" w14:paraId="38F397FC" w14:textId="77777777" w:rsidTr="005C5A33">
        <w:tc>
          <w:tcPr>
            <w:tcW w:w="1774" w:type="dxa"/>
          </w:tcPr>
          <w:p w14:paraId="6D2A34F7" w14:textId="77777777" w:rsidR="00952FBA" w:rsidRPr="00EB50A5" w:rsidRDefault="00952FBA" w:rsidP="00952FBA">
            <w:pPr>
              <w:pStyle w:val="ListParagraph"/>
              <w:numPr>
                <w:ilvl w:val="0"/>
                <w:numId w:val="0"/>
              </w:numPr>
              <w:rPr>
                <w:b/>
                <w:color w:val="auto"/>
              </w:rPr>
            </w:pPr>
            <w:r w:rsidRPr="00EB50A5">
              <w:rPr>
                <w:b/>
                <w:color w:val="auto"/>
              </w:rPr>
              <w:t>Current Risk</w:t>
            </w:r>
          </w:p>
        </w:tc>
        <w:tc>
          <w:tcPr>
            <w:tcW w:w="1197" w:type="dxa"/>
            <w:vAlign w:val="center"/>
          </w:tcPr>
          <w:p w14:paraId="073ECE89" w14:textId="77777777" w:rsidR="00952FBA" w:rsidRPr="00EB50A5" w:rsidRDefault="00EB50A5" w:rsidP="00952FBA">
            <w:pPr>
              <w:pStyle w:val="ListParagraph"/>
              <w:numPr>
                <w:ilvl w:val="0"/>
                <w:numId w:val="0"/>
              </w:numPr>
              <w:jc w:val="right"/>
              <w:rPr>
                <w:b/>
                <w:color w:val="auto"/>
              </w:rPr>
            </w:pPr>
            <w:r w:rsidRPr="00EB50A5">
              <w:rPr>
                <w:rFonts w:cs="Arial"/>
                <w:b/>
                <w:bCs/>
                <w:color w:val="auto"/>
              </w:rPr>
              <w:t>Q2 2020/21</w:t>
            </w:r>
          </w:p>
        </w:tc>
        <w:tc>
          <w:tcPr>
            <w:tcW w:w="1134" w:type="dxa"/>
            <w:vAlign w:val="center"/>
          </w:tcPr>
          <w:p w14:paraId="0F861957" w14:textId="77777777" w:rsidR="00952FBA" w:rsidRPr="00EB50A5" w:rsidRDefault="00EB50A5" w:rsidP="00952FBA">
            <w:pPr>
              <w:pStyle w:val="ListParagraph"/>
              <w:numPr>
                <w:ilvl w:val="0"/>
                <w:numId w:val="0"/>
              </w:numPr>
              <w:jc w:val="right"/>
              <w:rPr>
                <w:b/>
                <w:color w:val="auto"/>
              </w:rPr>
            </w:pPr>
            <w:r w:rsidRPr="00EB50A5">
              <w:rPr>
                <w:rFonts w:cs="Arial"/>
                <w:b/>
                <w:bCs/>
                <w:color w:val="auto"/>
              </w:rPr>
              <w:t>Q3 2020/21</w:t>
            </w:r>
          </w:p>
        </w:tc>
        <w:tc>
          <w:tcPr>
            <w:tcW w:w="1276" w:type="dxa"/>
            <w:vAlign w:val="center"/>
          </w:tcPr>
          <w:p w14:paraId="2686E198" w14:textId="77777777" w:rsidR="00952FBA" w:rsidRPr="00EB50A5" w:rsidRDefault="00EB50A5" w:rsidP="00952FBA">
            <w:pPr>
              <w:pStyle w:val="ListParagraph"/>
              <w:numPr>
                <w:ilvl w:val="0"/>
                <w:numId w:val="0"/>
              </w:numPr>
              <w:jc w:val="right"/>
              <w:rPr>
                <w:b/>
                <w:color w:val="auto"/>
              </w:rPr>
            </w:pPr>
            <w:r w:rsidRPr="00EB50A5">
              <w:rPr>
                <w:rFonts w:cs="Arial"/>
                <w:b/>
                <w:bCs/>
                <w:color w:val="auto"/>
              </w:rPr>
              <w:t>Q4 20</w:t>
            </w:r>
            <w:r w:rsidR="00952FBA" w:rsidRPr="00EB50A5">
              <w:rPr>
                <w:rFonts w:cs="Arial"/>
                <w:b/>
                <w:bCs/>
                <w:color w:val="auto"/>
              </w:rPr>
              <w:t>20</w:t>
            </w:r>
            <w:r w:rsidRPr="00EB50A5">
              <w:rPr>
                <w:rFonts w:cs="Arial"/>
                <w:b/>
                <w:bCs/>
                <w:color w:val="auto"/>
              </w:rPr>
              <w:t>/21</w:t>
            </w:r>
          </w:p>
        </w:tc>
        <w:tc>
          <w:tcPr>
            <w:tcW w:w="1418" w:type="dxa"/>
            <w:vAlign w:val="center"/>
          </w:tcPr>
          <w:p w14:paraId="1F894688" w14:textId="77777777" w:rsidR="00952FBA" w:rsidRPr="00EB50A5" w:rsidRDefault="00EB50A5" w:rsidP="00952FBA">
            <w:pPr>
              <w:jc w:val="right"/>
              <w:rPr>
                <w:rFonts w:cs="Arial"/>
                <w:b/>
                <w:bCs/>
                <w:color w:val="auto"/>
              </w:rPr>
            </w:pPr>
            <w:r w:rsidRPr="00EB50A5">
              <w:rPr>
                <w:rFonts w:cs="Arial"/>
                <w:b/>
                <w:bCs/>
                <w:color w:val="auto"/>
              </w:rPr>
              <w:t>Q1</w:t>
            </w:r>
            <w:r w:rsidR="00952FBA" w:rsidRPr="00EB50A5">
              <w:rPr>
                <w:rFonts w:cs="Arial"/>
                <w:b/>
                <w:bCs/>
                <w:color w:val="auto"/>
              </w:rPr>
              <w:t xml:space="preserve"> </w:t>
            </w:r>
          </w:p>
          <w:p w14:paraId="70639FBA" w14:textId="77777777" w:rsidR="00952FBA" w:rsidRPr="00EB50A5" w:rsidRDefault="00EB50A5" w:rsidP="00952FBA">
            <w:pPr>
              <w:pStyle w:val="ListParagraph"/>
              <w:numPr>
                <w:ilvl w:val="0"/>
                <w:numId w:val="0"/>
              </w:numPr>
              <w:jc w:val="right"/>
              <w:rPr>
                <w:b/>
                <w:color w:val="auto"/>
              </w:rPr>
            </w:pPr>
            <w:r w:rsidRPr="00EB50A5">
              <w:rPr>
                <w:rFonts w:cs="Arial"/>
                <w:b/>
                <w:bCs/>
                <w:color w:val="auto"/>
              </w:rPr>
              <w:t>2021</w:t>
            </w:r>
            <w:r w:rsidR="00952FBA" w:rsidRPr="00EB50A5">
              <w:rPr>
                <w:rFonts w:cs="Arial"/>
                <w:b/>
                <w:bCs/>
                <w:color w:val="auto"/>
              </w:rPr>
              <w:t>/2</w:t>
            </w:r>
            <w:r w:rsidRPr="00EB50A5">
              <w:rPr>
                <w:rFonts w:cs="Arial"/>
                <w:b/>
                <w:bCs/>
                <w:color w:val="auto"/>
              </w:rPr>
              <w:t>2</w:t>
            </w:r>
          </w:p>
        </w:tc>
      </w:tr>
      <w:tr w:rsidR="00EB50A5" w:rsidRPr="00EB50A5" w14:paraId="1C0F9AA7" w14:textId="77777777" w:rsidTr="00BC254C">
        <w:tc>
          <w:tcPr>
            <w:tcW w:w="1774" w:type="dxa"/>
          </w:tcPr>
          <w:p w14:paraId="741A6A4C" w14:textId="77777777" w:rsidR="00BC254C" w:rsidRPr="00EB50A5" w:rsidRDefault="00BC254C" w:rsidP="00BC254C">
            <w:pPr>
              <w:pStyle w:val="ListParagraph"/>
              <w:numPr>
                <w:ilvl w:val="0"/>
                <w:numId w:val="0"/>
              </w:numPr>
              <w:rPr>
                <w:color w:val="auto"/>
              </w:rPr>
            </w:pPr>
            <w:r w:rsidRPr="00EB50A5">
              <w:rPr>
                <w:color w:val="auto"/>
              </w:rPr>
              <w:t>Red</w:t>
            </w:r>
          </w:p>
        </w:tc>
        <w:tc>
          <w:tcPr>
            <w:tcW w:w="1197" w:type="dxa"/>
          </w:tcPr>
          <w:p w14:paraId="346CD7F3" w14:textId="77777777" w:rsidR="00BC254C" w:rsidRPr="00EB50A5" w:rsidRDefault="00952FBA" w:rsidP="00BC254C">
            <w:pPr>
              <w:pStyle w:val="ListParagraph"/>
              <w:numPr>
                <w:ilvl w:val="0"/>
                <w:numId w:val="0"/>
              </w:numPr>
              <w:jc w:val="right"/>
              <w:rPr>
                <w:color w:val="auto"/>
              </w:rPr>
            </w:pPr>
            <w:r w:rsidRPr="00EB50A5">
              <w:rPr>
                <w:color w:val="auto"/>
              </w:rPr>
              <w:t>3</w:t>
            </w:r>
          </w:p>
        </w:tc>
        <w:tc>
          <w:tcPr>
            <w:tcW w:w="1134" w:type="dxa"/>
          </w:tcPr>
          <w:p w14:paraId="4EA5664F" w14:textId="77777777" w:rsidR="00BC254C" w:rsidRPr="00EB50A5" w:rsidRDefault="00EB50A5" w:rsidP="00BC254C">
            <w:pPr>
              <w:pStyle w:val="ListParagraph"/>
              <w:numPr>
                <w:ilvl w:val="0"/>
                <w:numId w:val="0"/>
              </w:numPr>
              <w:jc w:val="right"/>
              <w:rPr>
                <w:color w:val="auto"/>
              </w:rPr>
            </w:pPr>
            <w:r w:rsidRPr="00EB50A5">
              <w:rPr>
                <w:color w:val="auto"/>
              </w:rPr>
              <w:t>3</w:t>
            </w:r>
          </w:p>
        </w:tc>
        <w:tc>
          <w:tcPr>
            <w:tcW w:w="1276" w:type="dxa"/>
          </w:tcPr>
          <w:p w14:paraId="3A52C728" w14:textId="77777777" w:rsidR="00BC254C" w:rsidRPr="00EB50A5" w:rsidRDefault="00EB50A5" w:rsidP="00BC254C">
            <w:pPr>
              <w:pStyle w:val="ListParagraph"/>
              <w:numPr>
                <w:ilvl w:val="0"/>
                <w:numId w:val="0"/>
              </w:numPr>
              <w:jc w:val="right"/>
              <w:rPr>
                <w:color w:val="auto"/>
              </w:rPr>
            </w:pPr>
            <w:r w:rsidRPr="00EB50A5">
              <w:rPr>
                <w:color w:val="auto"/>
              </w:rPr>
              <w:t>3</w:t>
            </w:r>
          </w:p>
        </w:tc>
        <w:tc>
          <w:tcPr>
            <w:tcW w:w="1418" w:type="dxa"/>
          </w:tcPr>
          <w:p w14:paraId="14AF16EF" w14:textId="2EA47FB6" w:rsidR="00BC254C" w:rsidRPr="00EB50A5" w:rsidRDefault="00B834BD" w:rsidP="00BC254C">
            <w:pPr>
              <w:pStyle w:val="ListParagraph"/>
              <w:numPr>
                <w:ilvl w:val="0"/>
                <w:numId w:val="0"/>
              </w:numPr>
              <w:jc w:val="right"/>
              <w:rPr>
                <w:color w:val="auto"/>
              </w:rPr>
            </w:pPr>
            <w:r>
              <w:rPr>
                <w:color w:val="auto"/>
              </w:rPr>
              <w:t>2</w:t>
            </w:r>
          </w:p>
        </w:tc>
      </w:tr>
      <w:tr w:rsidR="00EB50A5" w:rsidRPr="00EB50A5" w14:paraId="528E43F6" w14:textId="77777777" w:rsidTr="00BC254C">
        <w:tc>
          <w:tcPr>
            <w:tcW w:w="1774" w:type="dxa"/>
          </w:tcPr>
          <w:p w14:paraId="1DACCB9E" w14:textId="77777777" w:rsidR="00BC254C" w:rsidRPr="00EB50A5" w:rsidRDefault="00BC254C" w:rsidP="00BC254C">
            <w:pPr>
              <w:pStyle w:val="ListParagraph"/>
              <w:numPr>
                <w:ilvl w:val="0"/>
                <w:numId w:val="0"/>
              </w:numPr>
              <w:rPr>
                <w:color w:val="auto"/>
              </w:rPr>
            </w:pPr>
            <w:r w:rsidRPr="00EB50A5">
              <w:rPr>
                <w:color w:val="auto"/>
              </w:rPr>
              <w:t>Amber</w:t>
            </w:r>
          </w:p>
        </w:tc>
        <w:tc>
          <w:tcPr>
            <w:tcW w:w="1197" w:type="dxa"/>
          </w:tcPr>
          <w:p w14:paraId="090C22CD" w14:textId="77777777" w:rsidR="00BC254C" w:rsidRPr="00EB50A5" w:rsidRDefault="00952FBA" w:rsidP="00BC254C">
            <w:pPr>
              <w:pStyle w:val="ListParagraph"/>
              <w:numPr>
                <w:ilvl w:val="0"/>
                <w:numId w:val="0"/>
              </w:numPr>
              <w:jc w:val="right"/>
              <w:rPr>
                <w:color w:val="auto"/>
              </w:rPr>
            </w:pPr>
            <w:r w:rsidRPr="00EB50A5">
              <w:rPr>
                <w:color w:val="auto"/>
              </w:rPr>
              <w:t>8</w:t>
            </w:r>
          </w:p>
        </w:tc>
        <w:tc>
          <w:tcPr>
            <w:tcW w:w="1134" w:type="dxa"/>
          </w:tcPr>
          <w:p w14:paraId="319FC101" w14:textId="77777777" w:rsidR="00BC254C" w:rsidRPr="00EB50A5" w:rsidRDefault="00952FBA" w:rsidP="00BC254C">
            <w:pPr>
              <w:pStyle w:val="ListParagraph"/>
              <w:numPr>
                <w:ilvl w:val="0"/>
                <w:numId w:val="0"/>
              </w:numPr>
              <w:jc w:val="right"/>
              <w:rPr>
                <w:color w:val="auto"/>
              </w:rPr>
            </w:pPr>
            <w:r w:rsidRPr="00EB50A5">
              <w:rPr>
                <w:color w:val="auto"/>
              </w:rPr>
              <w:t>9</w:t>
            </w:r>
          </w:p>
        </w:tc>
        <w:tc>
          <w:tcPr>
            <w:tcW w:w="1276" w:type="dxa"/>
          </w:tcPr>
          <w:p w14:paraId="58BC157C" w14:textId="77777777" w:rsidR="00BC254C" w:rsidRPr="00EB50A5" w:rsidRDefault="00EB50A5" w:rsidP="00952FBA">
            <w:pPr>
              <w:pStyle w:val="ListParagraph"/>
              <w:numPr>
                <w:ilvl w:val="0"/>
                <w:numId w:val="0"/>
              </w:numPr>
              <w:rPr>
                <w:color w:val="auto"/>
              </w:rPr>
            </w:pPr>
            <w:r w:rsidRPr="00EB50A5">
              <w:rPr>
                <w:color w:val="auto"/>
              </w:rPr>
              <w:t xml:space="preserve">             7</w:t>
            </w:r>
          </w:p>
        </w:tc>
        <w:tc>
          <w:tcPr>
            <w:tcW w:w="1418" w:type="dxa"/>
          </w:tcPr>
          <w:p w14:paraId="429112E2" w14:textId="3AD17626" w:rsidR="00BC254C" w:rsidRPr="00EB50A5" w:rsidRDefault="00B834BD" w:rsidP="00BC254C">
            <w:pPr>
              <w:pStyle w:val="ListParagraph"/>
              <w:numPr>
                <w:ilvl w:val="0"/>
                <w:numId w:val="0"/>
              </w:numPr>
              <w:jc w:val="right"/>
              <w:rPr>
                <w:color w:val="auto"/>
              </w:rPr>
            </w:pPr>
            <w:r>
              <w:rPr>
                <w:color w:val="auto"/>
              </w:rPr>
              <w:t>8</w:t>
            </w:r>
          </w:p>
        </w:tc>
      </w:tr>
      <w:tr w:rsidR="00EB50A5" w:rsidRPr="00EB50A5" w14:paraId="1AB08CF4" w14:textId="77777777" w:rsidTr="00BC254C">
        <w:tc>
          <w:tcPr>
            <w:tcW w:w="1774" w:type="dxa"/>
          </w:tcPr>
          <w:p w14:paraId="36D228BB" w14:textId="77777777" w:rsidR="00BC254C" w:rsidRPr="00EB50A5" w:rsidRDefault="00BC254C" w:rsidP="00BC254C">
            <w:pPr>
              <w:pStyle w:val="ListParagraph"/>
              <w:numPr>
                <w:ilvl w:val="0"/>
                <w:numId w:val="0"/>
              </w:numPr>
              <w:rPr>
                <w:color w:val="auto"/>
              </w:rPr>
            </w:pPr>
            <w:r w:rsidRPr="00EB50A5">
              <w:rPr>
                <w:color w:val="auto"/>
              </w:rPr>
              <w:t>Green</w:t>
            </w:r>
          </w:p>
        </w:tc>
        <w:tc>
          <w:tcPr>
            <w:tcW w:w="1197" w:type="dxa"/>
          </w:tcPr>
          <w:p w14:paraId="37716B25" w14:textId="77777777" w:rsidR="00BC254C" w:rsidRPr="00EB50A5" w:rsidRDefault="00952FBA" w:rsidP="00BC254C">
            <w:pPr>
              <w:pStyle w:val="ListParagraph"/>
              <w:numPr>
                <w:ilvl w:val="0"/>
                <w:numId w:val="0"/>
              </w:numPr>
              <w:jc w:val="right"/>
              <w:rPr>
                <w:color w:val="auto"/>
              </w:rPr>
            </w:pPr>
            <w:r w:rsidRPr="00EB50A5">
              <w:rPr>
                <w:color w:val="auto"/>
              </w:rPr>
              <w:t>1</w:t>
            </w:r>
          </w:p>
        </w:tc>
        <w:tc>
          <w:tcPr>
            <w:tcW w:w="1134" w:type="dxa"/>
          </w:tcPr>
          <w:p w14:paraId="152842C9" w14:textId="77777777" w:rsidR="00BC254C" w:rsidRPr="00EB50A5" w:rsidRDefault="00EB50A5" w:rsidP="00BC254C">
            <w:pPr>
              <w:pStyle w:val="ListParagraph"/>
              <w:numPr>
                <w:ilvl w:val="0"/>
                <w:numId w:val="0"/>
              </w:numPr>
              <w:jc w:val="right"/>
              <w:rPr>
                <w:color w:val="auto"/>
              </w:rPr>
            </w:pPr>
            <w:r w:rsidRPr="00EB50A5">
              <w:rPr>
                <w:color w:val="auto"/>
              </w:rPr>
              <w:t>0</w:t>
            </w:r>
          </w:p>
        </w:tc>
        <w:tc>
          <w:tcPr>
            <w:tcW w:w="1276" w:type="dxa"/>
          </w:tcPr>
          <w:p w14:paraId="4496D26A" w14:textId="77777777" w:rsidR="00BC254C" w:rsidRPr="00EB50A5" w:rsidRDefault="00EB50A5" w:rsidP="00EB50A5">
            <w:pPr>
              <w:pStyle w:val="ListParagraph"/>
              <w:numPr>
                <w:ilvl w:val="0"/>
                <w:numId w:val="0"/>
              </w:numPr>
              <w:jc w:val="center"/>
              <w:rPr>
                <w:color w:val="auto"/>
              </w:rPr>
            </w:pPr>
            <w:r w:rsidRPr="00EB50A5">
              <w:rPr>
                <w:color w:val="auto"/>
              </w:rPr>
              <w:t xml:space="preserve">           2</w:t>
            </w:r>
          </w:p>
        </w:tc>
        <w:tc>
          <w:tcPr>
            <w:tcW w:w="1418" w:type="dxa"/>
          </w:tcPr>
          <w:p w14:paraId="69130B97" w14:textId="77777777" w:rsidR="00BC254C" w:rsidRPr="00EB50A5" w:rsidRDefault="00EB50A5" w:rsidP="00BC254C">
            <w:pPr>
              <w:pStyle w:val="ListParagraph"/>
              <w:numPr>
                <w:ilvl w:val="0"/>
                <w:numId w:val="0"/>
              </w:numPr>
              <w:jc w:val="right"/>
              <w:rPr>
                <w:color w:val="auto"/>
              </w:rPr>
            </w:pPr>
            <w:r w:rsidRPr="00EB50A5">
              <w:rPr>
                <w:color w:val="auto"/>
              </w:rPr>
              <w:t>2</w:t>
            </w:r>
          </w:p>
        </w:tc>
      </w:tr>
      <w:tr w:rsidR="00EB50A5" w:rsidRPr="00EB50A5" w14:paraId="09AF6EC3" w14:textId="77777777" w:rsidTr="00BC254C">
        <w:tc>
          <w:tcPr>
            <w:tcW w:w="1774" w:type="dxa"/>
          </w:tcPr>
          <w:p w14:paraId="021C321A" w14:textId="77777777" w:rsidR="00BC254C" w:rsidRPr="00EB50A5" w:rsidRDefault="00BC254C" w:rsidP="00BC254C">
            <w:pPr>
              <w:pStyle w:val="ListParagraph"/>
              <w:numPr>
                <w:ilvl w:val="0"/>
                <w:numId w:val="0"/>
              </w:numPr>
              <w:rPr>
                <w:b/>
                <w:color w:val="auto"/>
              </w:rPr>
            </w:pPr>
            <w:r w:rsidRPr="00EB50A5">
              <w:rPr>
                <w:b/>
                <w:color w:val="auto"/>
              </w:rPr>
              <w:t>Total Risks</w:t>
            </w:r>
          </w:p>
        </w:tc>
        <w:tc>
          <w:tcPr>
            <w:tcW w:w="1197" w:type="dxa"/>
          </w:tcPr>
          <w:p w14:paraId="0EBAD189" w14:textId="77777777" w:rsidR="00BC254C" w:rsidRPr="00EB50A5" w:rsidRDefault="00BC254C" w:rsidP="00BC254C">
            <w:pPr>
              <w:pStyle w:val="ListParagraph"/>
              <w:numPr>
                <w:ilvl w:val="0"/>
                <w:numId w:val="0"/>
              </w:numPr>
              <w:jc w:val="right"/>
              <w:rPr>
                <w:b/>
                <w:color w:val="auto"/>
              </w:rPr>
            </w:pPr>
            <w:r w:rsidRPr="00EB50A5">
              <w:rPr>
                <w:b/>
                <w:color w:val="auto"/>
              </w:rPr>
              <w:t>12</w:t>
            </w:r>
          </w:p>
        </w:tc>
        <w:tc>
          <w:tcPr>
            <w:tcW w:w="1134" w:type="dxa"/>
          </w:tcPr>
          <w:p w14:paraId="30053031" w14:textId="77777777" w:rsidR="00BC254C" w:rsidRPr="00EB50A5" w:rsidRDefault="00BC254C" w:rsidP="00BC254C">
            <w:pPr>
              <w:pStyle w:val="ListParagraph"/>
              <w:numPr>
                <w:ilvl w:val="0"/>
                <w:numId w:val="0"/>
              </w:numPr>
              <w:jc w:val="right"/>
              <w:rPr>
                <w:b/>
                <w:color w:val="auto"/>
              </w:rPr>
            </w:pPr>
            <w:r w:rsidRPr="00EB50A5">
              <w:rPr>
                <w:b/>
                <w:color w:val="auto"/>
              </w:rPr>
              <w:t>12</w:t>
            </w:r>
          </w:p>
        </w:tc>
        <w:tc>
          <w:tcPr>
            <w:tcW w:w="1276" w:type="dxa"/>
          </w:tcPr>
          <w:p w14:paraId="521693DA" w14:textId="77777777" w:rsidR="00BC254C" w:rsidRPr="00EB50A5" w:rsidRDefault="00C506C5" w:rsidP="00C506C5">
            <w:pPr>
              <w:pStyle w:val="ListParagraph"/>
              <w:numPr>
                <w:ilvl w:val="0"/>
                <w:numId w:val="0"/>
              </w:numPr>
              <w:jc w:val="right"/>
              <w:rPr>
                <w:b/>
                <w:color w:val="auto"/>
              </w:rPr>
            </w:pPr>
            <w:r w:rsidRPr="00EB50A5">
              <w:rPr>
                <w:b/>
                <w:color w:val="auto"/>
              </w:rPr>
              <w:t>12</w:t>
            </w:r>
          </w:p>
        </w:tc>
        <w:tc>
          <w:tcPr>
            <w:tcW w:w="1418" w:type="dxa"/>
          </w:tcPr>
          <w:p w14:paraId="4732FA0C" w14:textId="77777777" w:rsidR="00BC254C" w:rsidRPr="00EB50A5" w:rsidRDefault="00BC254C" w:rsidP="0066395F">
            <w:pPr>
              <w:pStyle w:val="ListParagraph"/>
              <w:numPr>
                <w:ilvl w:val="0"/>
                <w:numId w:val="0"/>
              </w:numPr>
              <w:jc w:val="right"/>
              <w:rPr>
                <w:b/>
                <w:color w:val="auto"/>
              </w:rPr>
            </w:pPr>
            <w:r w:rsidRPr="00EB50A5">
              <w:rPr>
                <w:b/>
                <w:color w:val="auto"/>
              </w:rPr>
              <w:t>1</w:t>
            </w:r>
            <w:r w:rsidR="0066395F">
              <w:rPr>
                <w:b/>
                <w:color w:val="auto"/>
              </w:rPr>
              <w:t>2</w:t>
            </w:r>
          </w:p>
        </w:tc>
      </w:tr>
    </w:tbl>
    <w:p w14:paraId="2A38DE7F" w14:textId="77777777" w:rsidR="00802422" w:rsidRPr="00EB50A5" w:rsidRDefault="00BC254C" w:rsidP="00BC73EE">
      <w:pPr>
        <w:pStyle w:val="ListParagraph"/>
        <w:numPr>
          <w:ilvl w:val="0"/>
          <w:numId w:val="0"/>
        </w:numPr>
        <w:ind w:left="426"/>
        <w:rPr>
          <w:color w:val="auto"/>
        </w:rPr>
      </w:pPr>
      <w:r w:rsidRPr="00EB50A5">
        <w:rPr>
          <w:color w:val="auto"/>
        </w:rPr>
        <w:t xml:space="preserve"> </w:t>
      </w:r>
    </w:p>
    <w:p w14:paraId="62BC75B1" w14:textId="77777777" w:rsidR="006D583C" w:rsidRPr="006D583C" w:rsidRDefault="006D583C" w:rsidP="006D583C">
      <w:pPr>
        <w:rPr>
          <w:b/>
          <w:color w:val="auto"/>
        </w:rPr>
      </w:pPr>
      <w:r w:rsidRPr="006D583C">
        <w:rPr>
          <w:b/>
          <w:color w:val="auto"/>
        </w:rPr>
        <w:t>Performance Indicators</w:t>
      </w:r>
    </w:p>
    <w:p w14:paraId="72FBF30B" w14:textId="6190B6DB" w:rsidR="006D583C" w:rsidRDefault="00B834BD" w:rsidP="00476627">
      <w:pPr>
        <w:pStyle w:val="ListParagraph"/>
        <w:rPr>
          <w:color w:val="auto"/>
        </w:rPr>
      </w:pPr>
      <w:r>
        <w:rPr>
          <w:color w:val="auto"/>
        </w:rPr>
        <w:t xml:space="preserve">There is one </w:t>
      </w:r>
      <w:r w:rsidR="006D583C">
        <w:rPr>
          <w:color w:val="auto"/>
        </w:rPr>
        <w:t>red corporate performance indicators being reported at the end of quarter 1, these relate to:</w:t>
      </w:r>
    </w:p>
    <w:p w14:paraId="46A7F4D7" w14:textId="77777777" w:rsidR="006D583C" w:rsidRDefault="006D583C" w:rsidP="006D583C">
      <w:pPr>
        <w:pStyle w:val="ListParagraph"/>
        <w:numPr>
          <w:ilvl w:val="0"/>
          <w:numId w:val="47"/>
        </w:numPr>
        <w:rPr>
          <w:color w:val="auto"/>
        </w:rPr>
      </w:pPr>
      <w:r>
        <w:rPr>
          <w:color w:val="auto"/>
        </w:rPr>
        <w:t xml:space="preserve">The number of people in Oxford estimated to be sleeping rough – actual of 24 against a target of 17 </w:t>
      </w:r>
      <w:r w:rsidR="00420257">
        <w:rPr>
          <w:color w:val="auto"/>
        </w:rPr>
        <w:t>– an increase has been seen in recent weeks which is not uncommon when the weather improves, but when compared to pre-pandemic this number is much lower for the time of year;</w:t>
      </w:r>
    </w:p>
    <w:p w14:paraId="31EA81A3" w14:textId="77777777" w:rsidR="006D583C" w:rsidRDefault="006D583C" w:rsidP="006D583C">
      <w:pPr>
        <w:pStyle w:val="Heading1"/>
        <w:rPr>
          <w:color w:val="auto"/>
        </w:rPr>
      </w:pPr>
      <w:r w:rsidRPr="00EB50A5">
        <w:rPr>
          <w:color w:val="auto"/>
        </w:rPr>
        <w:t>Financial implications</w:t>
      </w:r>
    </w:p>
    <w:p w14:paraId="0C7C142C" w14:textId="77777777" w:rsidR="004F260A" w:rsidRPr="00EE3D65" w:rsidRDefault="004F260A" w:rsidP="00476627">
      <w:pPr>
        <w:pStyle w:val="ListParagraph"/>
        <w:rPr>
          <w:color w:val="auto"/>
        </w:rPr>
      </w:pPr>
      <w:r w:rsidRPr="00EE3D65">
        <w:rPr>
          <w:color w:val="auto"/>
        </w:rPr>
        <w:t>All financial implications are covered in the body of this report and the Appendices.</w:t>
      </w:r>
    </w:p>
    <w:p w14:paraId="0F1E9A2E" w14:textId="77777777" w:rsidR="0040736F" w:rsidRPr="00EE3D65" w:rsidRDefault="00DA614B" w:rsidP="004A6D2F">
      <w:pPr>
        <w:pStyle w:val="Heading1"/>
        <w:rPr>
          <w:color w:val="auto"/>
        </w:rPr>
      </w:pPr>
      <w:r w:rsidRPr="00EE3D65">
        <w:rPr>
          <w:color w:val="auto"/>
        </w:rPr>
        <w:t>Legal issues</w:t>
      </w:r>
    </w:p>
    <w:p w14:paraId="240D810C" w14:textId="77777777" w:rsidR="00E87F7A" w:rsidRPr="00EE3D65" w:rsidRDefault="00256350" w:rsidP="00476627">
      <w:pPr>
        <w:pStyle w:val="ListParagraph"/>
        <w:rPr>
          <w:color w:val="auto"/>
        </w:rPr>
      </w:pPr>
      <w:r w:rsidRPr="00EE3D65">
        <w:rPr>
          <w:color w:val="auto"/>
        </w:rPr>
        <w:t xml:space="preserve">There are no legal implications </w:t>
      </w:r>
      <w:r w:rsidR="00D04C25" w:rsidRPr="00EE3D65">
        <w:rPr>
          <w:color w:val="auto"/>
        </w:rPr>
        <w:t xml:space="preserve">arising </w:t>
      </w:r>
      <w:r w:rsidRPr="00EE3D65">
        <w:rPr>
          <w:color w:val="auto"/>
        </w:rPr>
        <w:t xml:space="preserve">directly </w:t>
      </w:r>
      <w:r w:rsidR="00D04C25" w:rsidRPr="00EE3D65">
        <w:rPr>
          <w:color w:val="auto"/>
        </w:rPr>
        <w:t>from</w:t>
      </w:r>
      <w:r w:rsidRPr="00EE3D65">
        <w:rPr>
          <w:color w:val="auto"/>
        </w:rPr>
        <w:t xml:space="preserve"> this report</w:t>
      </w:r>
      <w:r w:rsidR="00E87F7A" w:rsidRPr="00EE3D65">
        <w:rPr>
          <w:color w:val="auto"/>
        </w:rPr>
        <w:t>.</w:t>
      </w:r>
    </w:p>
    <w:p w14:paraId="351C74E3" w14:textId="77777777" w:rsidR="002329CF" w:rsidRPr="00EE3D65" w:rsidRDefault="002329CF" w:rsidP="004A6D2F">
      <w:pPr>
        <w:pStyle w:val="Heading1"/>
        <w:rPr>
          <w:color w:val="auto"/>
        </w:rPr>
      </w:pPr>
      <w:r w:rsidRPr="00EE3D65">
        <w:rPr>
          <w:color w:val="auto"/>
        </w:rPr>
        <w:t>Level of risk</w:t>
      </w:r>
    </w:p>
    <w:p w14:paraId="1FBD05E7" w14:textId="77777777" w:rsidR="00BC69A4" w:rsidRPr="00EE3D65" w:rsidRDefault="00256350" w:rsidP="00476627">
      <w:pPr>
        <w:pStyle w:val="ListParagraph"/>
        <w:rPr>
          <w:color w:val="auto"/>
        </w:rPr>
      </w:pPr>
      <w:r w:rsidRPr="00EE3D65">
        <w:rPr>
          <w:color w:val="auto"/>
        </w:rPr>
        <w:t>All risk implications are covered in the body of this report and the Appendices.</w:t>
      </w:r>
    </w:p>
    <w:p w14:paraId="319835CD" w14:textId="77777777" w:rsidR="002329CF" w:rsidRPr="00EE3D65" w:rsidRDefault="002329CF" w:rsidP="0050321C">
      <w:pPr>
        <w:pStyle w:val="Heading1"/>
        <w:rPr>
          <w:color w:val="auto"/>
        </w:rPr>
      </w:pPr>
      <w:r w:rsidRPr="00EE3D65">
        <w:rPr>
          <w:color w:val="auto"/>
        </w:rPr>
        <w:t xml:space="preserve">Equalities impact </w:t>
      </w:r>
    </w:p>
    <w:p w14:paraId="3754CCDE" w14:textId="77777777" w:rsidR="00E206D6" w:rsidRPr="00EE3D65" w:rsidRDefault="00256350" w:rsidP="00476627">
      <w:pPr>
        <w:pStyle w:val="ListParagraph"/>
        <w:rPr>
          <w:color w:val="auto"/>
        </w:rPr>
      </w:pPr>
      <w:r w:rsidRPr="00EE3D65">
        <w:rPr>
          <w:color w:val="auto"/>
        </w:rPr>
        <w:t>There are no equalities impacts arising directly from this report.</w:t>
      </w:r>
    </w:p>
    <w:p w14:paraId="4B4440DB" w14:textId="77777777" w:rsidR="002329CF" w:rsidRPr="00EB50A5"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36"/>
        <w:gridCol w:w="5534"/>
      </w:tblGrid>
      <w:tr w:rsidR="00EB50A5" w:rsidRPr="00EB50A5" w14:paraId="0017DC3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478F418" w14:textId="77777777" w:rsidR="00E87F7A" w:rsidRPr="00EB50A5" w:rsidRDefault="00E87F7A" w:rsidP="00A46E98">
            <w:pPr>
              <w:rPr>
                <w:b/>
                <w:color w:val="auto"/>
              </w:rPr>
            </w:pPr>
            <w:r w:rsidRPr="00EB50A5">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F38EAB9" w14:textId="77777777" w:rsidR="00E87F7A" w:rsidRPr="00EB50A5" w:rsidRDefault="00256350" w:rsidP="00A46E98">
            <w:pPr>
              <w:rPr>
                <w:color w:val="auto"/>
              </w:rPr>
            </w:pPr>
            <w:r w:rsidRPr="00EB50A5">
              <w:rPr>
                <w:color w:val="auto"/>
              </w:rPr>
              <w:t xml:space="preserve">Nigel Kennedy </w:t>
            </w:r>
          </w:p>
          <w:p w14:paraId="4591A947" w14:textId="77777777" w:rsidR="00256350" w:rsidRPr="00EB50A5" w:rsidRDefault="00256350" w:rsidP="00256350">
            <w:pPr>
              <w:rPr>
                <w:color w:val="auto"/>
              </w:rPr>
            </w:pPr>
            <w:r w:rsidRPr="00EB50A5">
              <w:rPr>
                <w:color w:val="auto"/>
              </w:rPr>
              <w:t>Helen Bishop</w:t>
            </w:r>
          </w:p>
        </w:tc>
      </w:tr>
      <w:tr w:rsidR="00EB50A5" w:rsidRPr="00EB50A5" w14:paraId="6D4651AF"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2E66FDA6" w14:textId="77777777" w:rsidR="00E87F7A" w:rsidRPr="00EB50A5" w:rsidRDefault="00E87F7A" w:rsidP="00A46E98">
            <w:pPr>
              <w:rPr>
                <w:color w:val="auto"/>
              </w:rPr>
            </w:pPr>
            <w:r w:rsidRPr="00EB50A5">
              <w:rPr>
                <w:color w:val="auto"/>
              </w:rPr>
              <w:t>Job title</w:t>
            </w:r>
          </w:p>
        </w:tc>
        <w:tc>
          <w:tcPr>
            <w:tcW w:w="4962" w:type="dxa"/>
            <w:tcBorders>
              <w:top w:val="single" w:sz="8" w:space="0" w:color="000000"/>
              <w:left w:val="nil"/>
              <w:bottom w:val="nil"/>
              <w:right w:val="single" w:sz="8" w:space="0" w:color="000000"/>
            </w:tcBorders>
            <w:shd w:val="clear" w:color="auto" w:fill="auto"/>
          </w:tcPr>
          <w:p w14:paraId="401D8579" w14:textId="77777777" w:rsidR="00E87F7A" w:rsidRPr="00EB50A5" w:rsidRDefault="00256350" w:rsidP="00A46E98">
            <w:pPr>
              <w:rPr>
                <w:color w:val="auto"/>
              </w:rPr>
            </w:pPr>
            <w:r w:rsidRPr="00EB50A5">
              <w:rPr>
                <w:color w:val="auto"/>
              </w:rPr>
              <w:t>Head of Financial Services</w:t>
            </w:r>
          </w:p>
          <w:p w14:paraId="479654F7" w14:textId="77777777" w:rsidR="00256350" w:rsidRPr="00EB50A5" w:rsidRDefault="00256350" w:rsidP="00A46E98">
            <w:pPr>
              <w:rPr>
                <w:color w:val="auto"/>
              </w:rPr>
            </w:pPr>
            <w:r w:rsidRPr="00EB50A5">
              <w:rPr>
                <w:color w:val="auto"/>
              </w:rPr>
              <w:t>Head of Business Improvement</w:t>
            </w:r>
          </w:p>
        </w:tc>
      </w:tr>
      <w:tr w:rsidR="00EB50A5" w:rsidRPr="00EB50A5" w14:paraId="7CF08834" w14:textId="77777777" w:rsidTr="00A46E98">
        <w:trPr>
          <w:cantSplit/>
          <w:trHeight w:val="396"/>
        </w:trPr>
        <w:tc>
          <w:tcPr>
            <w:tcW w:w="3969" w:type="dxa"/>
            <w:tcBorders>
              <w:top w:val="nil"/>
              <w:left w:val="single" w:sz="8" w:space="0" w:color="000000"/>
              <w:bottom w:val="nil"/>
              <w:right w:val="nil"/>
            </w:tcBorders>
            <w:shd w:val="clear" w:color="auto" w:fill="auto"/>
          </w:tcPr>
          <w:p w14:paraId="3DB88B21" w14:textId="77777777" w:rsidR="00E87F7A" w:rsidRPr="00EB50A5" w:rsidRDefault="00E87F7A" w:rsidP="00A46E98">
            <w:pPr>
              <w:rPr>
                <w:color w:val="auto"/>
              </w:rPr>
            </w:pPr>
            <w:r w:rsidRPr="00EB50A5">
              <w:rPr>
                <w:color w:val="auto"/>
              </w:rPr>
              <w:t>Service area or department</w:t>
            </w:r>
          </w:p>
        </w:tc>
        <w:tc>
          <w:tcPr>
            <w:tcW w:w="4962" w:type="dxa"/>
            <w:tcBorders>
              <w:top w:val="nil"/>
              <w:left w:val="nil"/>
              <w:bottom w:val="nil"/>
              <w:right w:val="single" w:sz="8" w:space="0" w:color="000000"/>
            </w:tcBorders>
            <w:shd w:val="clear" w:color="auto" w:fill="auto"/>
          </w:tcPr>
          <w:p w14:paraId="6BBE41D5" w14:textId="77777777" w:rsidR="00E87F7A" w:rsidRPr="00EB50A5" w:rsidRDefault="00256350" w:rsidP="00A46E98">
            <w:pPr>
              <w:rPr>
                <w:color w:val="auto"/>
              </w:rPr>
            </w:pPr>
            <w:r w:rsidRPr="00EB50A5">
              <w:rPr>
                <w:color w:val="auto"/>
              </w:rPr>
              <w:t>Financial Services/Business Improvement</w:t>
            </w:r>
          </w:p>
        </w:tc>
      </w:tr>
      <w:tr w:rsidR="00EB50A5" w:rsidRPr="00EB50A5" w14:paraId="0C757127" w14:textId="77777777" w:rsidTr="00A46E98">
        <w:trPr>
          <w:cantSplit/>
          <w:trHeight w:val="396"/>
        </w:trPr>
        <w:tc>
          <w:tcPr>
            <w:tcW w:w="3969" w:type="dxa"/>
            <w:tcBorders>
              <w:top w:val="nil"/>
              <w:left w:val="single" w:sz="8" w:space="0" w:color="000000"/>
              <w:bottom w:val="nil"/>
              <w:right w:val="nil"/>
            </w:tcBorders>
            <w:shd w:val="clear" w:color="auto" w:fill="auto"/>
          </w:tcPr>
          <w:p w14:paraId="32A62E99" w14:textId="77777777" w:rsidR="00E87F7A" w:rsidRPr="00EB50A5" w:rsidRDefault="00E87F7A" w:rsidP="00A46E98">
            <w:pPr>
              <w:rPr>
                <w:color w:val="auto"/>
              </w:rPr>
            </w:pPr>
            <w:r w:rsidRPr="00EB50A5">
              <w:rPr>
                <w:color w:val="auto"/>
              </w:rPr>
              <w:t xml:space="preserve">Telephone </w:t>
            </w:r>
          </w:p>
        </w:tc>
        <w:tc>
          <w:tcPr>
            <w:tcW w:w="4962" w:type="dxa"/>
            <w:tcBorders>
              <w:top w:val="nil"/>
              <w:left w:val="nil"/>
              <w:bottom w:val="nil"/>
              <w:right w:val="single" w:sz="8" w:space="0" w:color="000000"/>
            </w:tcBorders>
            <w:shd w:val="clear" w:color="auto" w:fill="auto"/>
          </w:tcPr>
          <w:p w14:paraId="2C56793A" w14:textId="77777777" w:rsidR="00E87F7A" w:rsidRPr="00EB50A5" w:rsidRDefault="00256350" w:rsidP="00256350">
            <w:pPr>
              <w:rPr>
                <w:color w:val="auto"/>
              </w:rPr>
            </w:pPr>
            <w:r w:rsidRPr="00EB50A5">
              <w:rPr>
                <w:color w:val="auto"/>
              </w:rPr>
              <w:t>01865 252708</w:t>
            </w:r>
            <w:r w:rsidR="00E87F7A" w:rsidRPr="00EB50A5">
              <w:rPr>
                <w:color w:val="auto"/>
              </w:rPr>
              <w:t xml:space="preserve">  </w:t>
            </w:r>
          </w:p>
        </w:tc>
      </w:tr>
      <w:tr w:rsidR="00534A13" w:rsidRPr="00EB50A5" w14:paraId="2FB80B3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08298CC" w14:textId="77777777" w:rsidR="00E87F7A" w:rsidRPr="00EB50A5" w:rsidRDefault="00E87F7A" w:rsidP="00A46E98">
            <w:pPr>
              <w:rPr>
                <w:color w:val="auto"/>
              </w:rPr>
            </w:pPr>
            <w:r w:rsidRPr="00EB50A5">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7D2C835A" w14:textId="77777777" w:rsidR="00E87F7A" w:rsidRPr="00EB50A5" w:rsidRDefault="00256350" w:rsidP="00A46E98">
            <w:pPr>
              <w:rPr>
                <w:rStyle w:val="Hyperlink"/>
                <w:color w:val="auto"/>
              </w:rPr>
            </w:pPr>
            <w:r w:rsidRPr="00EB50A5">
              <w:rPr>
                <w:rStyle w:val="Hyperlink"/>
                <w:color w:val="auto"/>
              </w:rPr>
              <w:t>nkennedy@oxford.gov.uk/hbishop@oxford.gov.uk</w:t>
            </w:r>
          </w:p>
        </w:tc>
      </w:tr>
    </w:tbl>
    <w:p w14:paraId="4292BF4E" w14:textId="77777777" w:rsidR="00433B96" w:rsidRPr="00EB50A5"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EB50A5" w:rsidRPr="00EB50A5" w14:paraId="32956177"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12C1DF04" w14:textId="77777777" w:rsidR="0093067A" w:rsidRPr="00EB50A5" w:rsidRDefault="00182B81" w:rsidP="00F41AC1">
            <w:pPr>
              <w:rPr>
                <w:color w:val="auto"/>
              </w:rPr>
            </w:pPr>
            <w:r w:rsidRPr="00EB50A5">
              <w:rPr>
                <w:rStyle w:val="Firstpagetablebold"/>
                <w:color w:val="auto"/>
              </w:rPr>
              <w:t xml:space="preserve">Background Papers: </w:t>
            </w:r>
            <w:r w:rsidRPr="00EB50A5">
              <w:rPr>
                <w:rStyle w:val="Firstpagetablebold"/>
                <w:b w:val="0"/>
                <w:color w:val="auto"/>
              </w:rPr>
              <w:t>None</w:t>
            </w:r>
          </w:p>
        </w:tc>
      </w:tr>
      <w:tr w:rsidR="00BC73EE" w:rsidRPr="00EB50A5" w14:paraId="06750AB3" w14:textId="77777777" w:rsidTr="00A46E98">
        <w:tc>
          <w:tcPr>
            <w:tcW w:w="567" w:type="dxa"/>
            <w:tcBorders>
              <w:top w:val="nil"/>
              <w:left w:val="single" w:sz="8" w:space="0" w:color="000000"/>
              <w:bottom w:val="single" w:sz="8" w:space="0" w:color="000000"/>
              <w:right w:val="nil"/>
            </w:tcBorders>
            <w:shd w:val="clear" w:color="auto" w:fill="auto"/>
          </w:tcPr>
          <w:p w14:paraId="27C8D0DF" w14:textId="77777777" w:rsidR="0093067A" w:rsidRPr="00EB50A5" w:rsidRDefault="0093067A" w:rsidP="00F41AC1">
            <w:pPr>
              <w:rPr>
                <w:color w:val="auto"/>
              </w:rPr>
            </w:pPr>
          </w:p>
        </w:tc>
        <w:tc>
          <w:tcPr>
            <w:tcW w:w="8364" w:type="dxa"/>
            <w:tcBorders>
              <w:top w:val="nil"/>
              <w:left w:val="nil"/>
              <w:bottom w:val="single" w:sz="8" w:space="0" w:color="000000"/>
              <w:right w:val="single" w:sz="8" w:space="0" w:color="000000"/>
            </w:tcBorders>
          </w:tcPr>
          <w:p w14:paraId="5E01CF28" w14:textId="77777777" w:rsidR="0093067A" w:rsidRPr="00EB50A5" w:rsidRDefault="0093067A" w:rsidP="00F41AC1">
            <w:pPr>
              <w:rPr>
                <w:color w:val="auto"/>
              </w:rPr>
            </w:pPr>
          </w:p>
        </w:tc>
      </w:tr>
    </w:tbl>
    <w:p w14:paraId="53282E59" w14:textId="77777777" w:rsidR="00CE4C87" w:rsidRPr="00EB50A5" w:rsidRDefault="00CE4C87" w:rsidP="0093067A">
      <w:pPr>
        <w:rPr>
          <w:color w:val="auto"/>
        </w:rPr>
      </w:pPr>
    </w:p>
    <w:sectPr w:rsidR="00CE4C87" w:rsidRPr="00EB50A5"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5AF42" w14:textId="77777777" w:rsidR="00603A2F" w:rsidRDefault="00603A2F" w:rsidP="004A6D2F">
      <w:r>
        <w:separator/>
      </w:r>
    </w:p>
  </w:endnote>
  <w:endnote w:type="continuationSeparator" w:id="0">
    <w:p w14:paraId="74A359E0" w14:textId="77777777" w:rsidR="00603A2F" w:rsidRDefault="00603A2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0AF88" w14:textId="77777777" w:rsidR="004A3EAE" w:rsidRDefault="004A3EAE" w:rsidP="004A6D2F">
    <w:pPr>
      <w:pStyle w:val="Footer"/>
    </w:pPr>
    <w:r>
      <w:t>Do not use a footer or page numbers.</w:t>
    </w:r>
  </w:p>
  <w:p w14:paraId="680AE5C5" w14:textId="77777777" w:rsidR="004A3EAE" w:rsidRDefault="004A3EAE" w:rsidP="004A6D2F">
    <w:pPr>
      <w:pStyle w:val="Footer"/>
    </w:pPr>
  </w:p>
  <w:p w14:paraId="051DB007" w14:textId="77777777"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41153" w14:textId="77777777"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58244" w14:textId="77777777" w:rsidR="00603A2F" w:rsidRDefault="00603A2F" w:rsidP="004A6D2F">
      <w:r>
        <w:separator/>
      </w:r>
    </w:p>
  </w:footnote>
  <w:footnote w:type="continuationSeparator" w:id="0">
    <w:p w14:paraId="3EDAAE33" w14:textId="77777777" w:rsidR="00603A2F" w:rsidRDefault="00603A2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4464" w14:textId="77777777" w:rsidR="004A3EAE" w:rsidRDefault="00896DE7" w:rsidP="00D5547E">
    <w:pPr>
      <w:pStyle w:val="Header"/>
      <w:jc w:val="right"/>
    </w:pPr>
    <w:r w:rsidRPr="00612730">
      <w:rPr>
        <w:noProof/>
      </w:rPr>
      <w:drawing>
        <wp:inline distT="0" distB="0" distL="0" distR="0" wp14:anchorId="7CC42B7C" wp14:editId="0CC524AB">
          <wp:extent cx="84264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FE7055"/>
    <w:multiLevelType w:val="hybridMultilevel"/>
    <w:tmpl w:val="EEEA98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697DE3"/>
    <w:multiLevelType w:val="hybridMultilevel"/>
    <w:tmpl w:val="CCE3C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FB9080"/>
    <w:multiLevelType w:val="hybridMultilevel"/>
    <w:tmpl w:val="93D2EF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780853"/>
    <w:multiLevelType w:val="hybridMultilevel"/>
    <w:tmpl w:val="01B02438"/>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 w15:restartNumberingAfterBreak="0">
    <w:nsid w:val="02790153"/>
    <w:multiLevelType w:val="hybridMultilevel"/>
    <w:tmpl w:val="D7904CD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38C30BB"/>
    <w:multiLevelType w:val="multilevel"/>
    <w:tmpl w:val="E67CE66C"/>
    <w:styleLink w:val="StyleNumberedLeft0cmHanging075cm"/>
    <w:lvl w:ilvl="0">
      <w:start w:val="1"/>
      <w:numFmt w:val="decimal"/>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636DE8"/>
    <w:multiLevelType w:val="hybridMultilevel"/>
    <w:tmpl w:val="4EDA54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05107536"/>
    <w:multiLevelType w:val="hybridMultilevel"/>
    <w:tmpl w:val="F5F42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7A2DD5"/>
    <w:multiLevelType w:val="multilevel"/>
    <w:tmpl w:val="1C7C35B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0AEE0C6C"/>
    <w:multiLevelType w:val="multilevel"/>
    <w:tmpl w:val="EF74C75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17" w15:restartNumberingAfterBreak="0">
    <w:nsid w:val="0C166816"/>
    <w:multiLevelType w:val="hybridMultilevel"/>
    <w:tmpl w:val="CD968D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725A3E"/>
    <w:multiLevelType w:val="hybridMultilevel"/>
    <w:tmpl w:val="F7E945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F21E98"/>
    <w:multiLevelType w:val="hybridMultilevel"/>
    <w:tmpl w:val="0CE2A99A"/>
    <w:lvl w:ilvl="0" w:tplc="08090001">
      <w:start w:val="1"/>
      <w:numFmt w:val="bullet"/>
      <w:lvlText w:val=""/>
      <w:lvlJc w:val="left"/>
      <w:pPr>
        <w:ind w:left="720" w:hanging="360"/>
      </w:pPr>
      <w:rPr>
        <w:rFonts w:ascii="Symbol" w:hAnsi="Symbol" w:hint="default"/>
      </w:rPr>
    </w:lvl>
    <w:lvl w:ilvl="1" w:tplc="2298A11E">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2BAB67"/>
    <w:multiLevelType w:val="hybridMultilevel"/>
    <w:tmpl w:val="F25B91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1FB2225"/>
    <w:multiLevelType w:val="multilevel"/>
    <w:tmpl w:val="53AC8644"/>
    <w:lvl w:ilvl="0">
      <w:start w:val="1"/>
      <w:numFmt w:val="bullet"/>
      <w:lvlText w:val=""/>
      <w:lvlJc w:val="left"/>
      <w:pPr>
        <w:ind w:left="1440" w:hanging="360"/>
      </w:pPr>
      <w:rPr>
        <w:rFonts w:ascii="Symbol" w:hAnsi="Symbol" w:hint="default"/>
        <w:color w:val="000000"/>
        <w:sz w:val="24"/>
      </w:r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27" w15:restartNumberingAfterBreak="0">
    <w:nsid w:val="368006B1"/>
    <w:multiLevelType w:val="hybridMultilevel"/>
    <w:tmpl w:val="D56AD94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8" w15:restartNumberingAfterBreak="0">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8E3A59"/>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1" w15:restartNumberingAfterBreak="0">
    <w:nsid w:val="47E14E2C"/>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2" w15:restartNumberingAfterBreak="0">
    <w:nsid w:val="4C4825EE"/>
    <w:multiLevelType w:val="multilevel"/>
    <w:tmpl w:val="B3EE38F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EC7549A"/>
    <w:multiLevelType w:val="hybridMultilevel"/>
    <w:tmpl w:val="0BC852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FDA0AF1"/>
    <w:multiLevelType w:val="hybridMultilevel"/>
    <w:tmpl w:val="EC14581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9" w15:restartNumberingAfterBreak="0">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545F97"/>
    <w:multiLevelType w:val="multilevel"/>
    <w:tmpl w:val="F594F0FA"/>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7791F5D"/>
    <w:multiLevelType w:val="multilevel"/>
    <w:tmpl w:val="EF74C752"/>
    <w:lvl w:ilvl="0">
      <w:start w:val="1"/>
      <w:numFmt w:val="bullet"/>
      <w:lvlText w:val=""/>
      <w:lvlJc w:val="left"/>
      <w:pPr>
        <w:ind w:left="1920" w:hanging="360"/>
      </w:pPr>
      <w:rPr>
        <w:rFonts w:ascii="Symbol" w:hAnsi="Symbol" w:hint="default"/>
        <w:color w:val="000000"/>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5" w15:restartNumberingAfterBreak="0">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46" w15:restartNumberingAfterBreak="0">
    <w:nsid w:val="798365C6"/>
    <w:multiLevelType w:val="multilevel"/>
    <w:tmpl w:val="976C7C58"/>
    <w:lvl w:ilvl="0">
      <w:start w:val="1"/>
      <w:numFmt w:val="decimal"/>
      <w:pStyle w:val="ListParagraph"/>
      <w:lvlText w:val="%1."/>
      <w:lvlJc w:val="left"/>
      <w:pPr>
        <w:ind w:left="786" w:hanging="360"/>
      </w:pPr>
      <w:rPr>
        <w:rFonts w:ascii="Arial" w:hAnsi="Arial" w:hint="default"/>
        <w:color w:val="000000"/>
        <w:sz w:val="24"/>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46"/>
  </w:num>
  <w:num w:numId="3">
    <w:abstractNumId w:val="21"/>
  </w:num>
  <w:num w:numId="4">
    <w:abstractNumId w:val="8"/>
  </w:num>
  <w:num w:numId="5">
    <w:abstractNumId w:val="42"/>
  </w:num>
  <w:num w:numId="6">
    <w:abstractNumId w:val="39"/>
  </w:num>
  <w:num w:numId="7">
    <w:abstractNumId w:val="38"/>
  </w:num>
  <w:num w:numId="8">
    <w:abstractNumId w:val="22"/>
  </w:num>
  <w:num w:numId="9">
    <w:abstractNumId w:val="36"/>
  </w:num>
  <w:num w:numId="10">
    <w:abstractNumId w:val="13"/>
  </w:num>
  <w:num w:numId="11">
    <w:abstractNumId w:val="5"/>
  </w:num>
  <w:num w:numId="12">
    <w:abstractNumId w:val="15"/>
  </w:num>
  <w:num w:numId="13">
    <w:abstractNumId w:val="11"/>
  </w:num>
  <w:num w:numId="14">
    <w:abstractNumId w:val="33"/>
  </w:num>
  <w:num w:numId="15">
    <w:abstractNumId w:val="6"/>
  </w:num>
  <w:num w:numId="16">
    <w:abstractNumId w:val="43"/>
  </w:num>
  <w:num w:numId="17">
    <w:abstractNumId w:val="18"/>
  </w:num>
  <w:num w:numId="18">
    <w:abstractNumId w:val="37"/>
  </w:num>
  <w:num w:numId="19">
    <w:abstractNumId w:val="45"/>
  </w:num>
  <w:num w:numId="20">
    <w:abstractNumId w:val="28"/>
  </w:num>
  <w:num w:numId="21">
    <w:abstractNumId w:val="29"/>
  </w:num>
  <w:num w:numId="22">
    <w:abstractNumId w:val="19"/>
  </w:num>
  <w:num w:numId="23">
    <w:abstractNumId w:val="24"/>
  </w:num>
  <w:num w:numId="24">
    <w:abstractNumId w:val="12"/>
  </w:num>
  <w:num w:numId="25">
    <w:abstractNumId w:val="40"/>
  </w:num>
  <w:num w:numId="26">
    <w:abstractNumId w:val="34"/>
  </w:num>
  <w:num w:numId="27">
    <w:abstractNumId w:val="3"/>
  </w:num>
  <w:num w:numId="28">
    <w:abstractNumId w:val="44"/>
  </w:num>
  <w:num w:numId="29">
    <w:abstractNumId w:val="16"/>
  </w:num>
  <w:num w:numId="30">
    <w:abstractNumId w:val="10"/>
  </w:num>
  <w:num w:numId="31">
    <w:abstractNumId w:val="41"/>
  </w:num>
  <w:num w:numId="32">
    <w:abstractNumId w:val="31"/>
  </w:num>
  <w:num w:numId="33">
    <w:abstractNumId w:val="30"/>
  </w:num>
  <w:num w:numId="34">
    <w:abstractNumId w:val="23"/>
  </w:num>
  <w:num w:numId="35">
    <w:abstractNumId w:val="32"/>
  </w:num>
  <w:num w:numId="36">
    <w:abstractNumId w:val="9"/>
  </w:num>
  <w:num w:numId="37">
    <w:abstractNumId w:val="4"/>
  </w:num>
  <w:num w:numId="38">
    <w:abstractNumId w:val="35"/>
  </w:num>
  <w:num w:numId="39">
    <w:abstractNumId w:val="14"/>
  </w:num>
  <w:num w:numId="40">
    <w:abstractNumId w:val="26"/>
  </w:num>
  <w:num w:numId="41">
    <w:abstractNumId w:val="17"/>
  </w:num>
  <w:num w:numId="42">
    <w:abstractNumId w:val="2"/>
  </w:num>
  <w:num w:numId="43">
    <w:abstractNumId w:val="20"/>
  </w:num>
  <w:num w:numId="44">
    <w:abstractNumId w:val="0"/>
  </w:num>
  <w:num w:numId="45">
    <w:abstractNumId w:val="25"/>
  </w:num>
  <w:num w:numId="46">
    <w:abstractNumId w:val="1"/>
  </w:num>
  <w:num w:numId="47">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1544"/>
    <w:rsid w:val="00007E2F"/>
    <w:rsid w:val="00010358"/>
    <w:rsid w:val="00010C09"/>
    <w:rsid w:val="000117D4"/>
    <w:rsid w:val="000119EC"/>
    <w:rsid w:val="00011B7A"/>
    <w:rsid w:val="00021313"/>
    <w:rsid w:val="00021A50"/>
    <w:rsid w:val="00027A19"/>
    <w:rsid w:val="000314D7"/>
    <w:rsid w:val="00034DFA"/>
    <w:rsid w:val="00041D28"/>
    <w:rsid w:val="00044A94"/>
    <w:rsid w:val="00045CFD"/>
    <w:rsid w:val="00045F8B"/>
    <w:rsid w:val="00046505"/>
    <w:rsid w:val="00046D2B"/>
    <w:rsid w:val="00046D61"/>
    <w:rsid w:val="00047B56"/>
    <w:rsid w:val="00050DA8"/>
    <w:rsid w:val="00053295"/>
    <w:rsid w:val="00053D19"/>
    <w:rsid w:val="0005443F"/>
    <w:rsid w:val="0005594D"/>
    <w:rsid w:val="00056263"/>
    <w:rsid w:val="00056FA2"/>
    <w:rsid w:val="00057678"/>
    <w:rsid w:val="0006399D"/>
    <w:rsid w:val="00064D8A"/>
    <w:rsid w:val="00064F82"/>
    <w:rsid w:val="00066510"/>
    <w:rsid w:val="00067108"/>
    <w:rsid w:val="00070E1A"/>
    <w:rsid w:val="00073508"/>
    <w:rsid w:val="000749E8"/>
    <w:rsid w:val="000753A8"/>
    <w:rsid w:val="00077523"/>
    <w:rsid w:val="000776FF"/>
    <w:rsid w:val="00082AD8"/>
    <w:rsid w:val="00085B72"/>
    <w:rsid w:val="00087BC5"/>
    <w:rsid w:val="000917F9"/>
    <w:rsid w:val="00092B20"/>
    <w:rsid w:val="00093353"/>
    <w:rsid w:val="00096070"/>
    <w:rsid w:val="000963D9"/>
    <w:rsid w:val="000A47AE"/>
    <w:rsid w:val="000B6C3C"/>
    <w:rsid w:val="000B76DA"/>
    <w:rsid w:val="000C089F"/>
    <w:rsid w:val="000C1A15"/>
    <w:rsid w:val="000C2A5B"/>
    <w:rsid w:val="000C3928"/>
    <w:rsid w:val="000C3D16"/>
    <w:rsid w:val="000C4C93"/>
    <w:rsid w:val="000C5E8E"/>
    <w:rsid w:val="000C5F5D"/>
    <w:rsid w:val="000C6280"/>
    <w:rsid w:val="000D4262"/>
    <w:rsid w:val="000D5378"/>
    <w:rsid w:val="000E0057"/>
    <w:rsid w:val="000E2B71"/>
    <w:rsid w:val="000F1081"/>
    <w:rsid w:val="000F2A7A"/>
    <w:rsid w:val="000F44CC"/>
    <w:rsid w:val="000F4751"/>
    <w:rsid w:val="001029E3"/>
    <w:rsid w:val="0010524C"/>
    <w:rsid w:val="00107DFB"/>
    <w:rsid w:val="00110F60"/>
    <w:rsid w:val="00111DE7"/>
    <w:rsid w:val="00111FB1"/>
    <w:rsid w:val="001121C1"/>
    <w:rsid w:val="0011263A"/>
    <w:rsid w:val="00113418"/>
    <w:rsid w:val="00117FD9"/>
    <w:rsid w:val="00121043"/>
    <w:rsid w:val="00124521"/>
    <w:rsid w:val="00126F0D"/>
    <w:rsid w:val="0013140F"/>
    <w:rsid w:val="00132A6F"/>
    <w:rsid w:val="00133FCB"/>
    <w:rsid w:val="0013447C"/>
    <w:rsid w:val="001356F1"/>
    <w:rsid w:val="00135C15"/>
    <w:rsid w:val="00136994"/>
    <w:rsid w:val="00136EB8"/>
    <w:rsid w:val="00136FB7"/>
    <w:rsid w:val="0014128E"/>
    <w:rsid w:val="00151888"/>
    <w:rsid w:val="00151E78"/>
    <w:rsid w:val="00151EDF"/>
    <w:rsid w:val="001531B9"/>
    <w:rsid w:val="00155948"/>
    <w:rsid w:val="001623E0"/>
    <w:rsid w:val="00162B63"/>
    <w:rsid w:val="00162C5E"/>
    <w:rsid w:val="001639AD"/>
    <w:rsid w:val="00165502"/>
    <w:rsid w:val="00166033"/>
    <w:rsid w:val="00166E6A"/>
    <w:rsid w:val="0017015E"/>
    <w:rsid w:val="00170A2D"/>
    <w:rsid w:val="00175CC5"/>
    <w:rsid w:val="00177372"/>
    <w:rsid w:val="00177F27"/>
    <w:rsid w:val="001808BC"/>
    <w:rsid w:val="001826BE"/>
    <w:rsid w:val="00182B81"/>
    <w:rsid w:val="00185A05"/>
    <w:rsid w:val="0018619D"/>
    <w:rsid w:val="0018749F"/>
    <w:rsid w:val="00190014"/>
    <w:rsid w:val="001944A2"/>
    <w:rsid w:val="0019563E"/>
    <w:rsid w:val="00195CA7"/>
    <w:rsid w:val="001965CB"/>
    <w:rsid w:val="00197786"/>
    <w:rsid w:val="00197C34"/>
    <w:rsid w:val="001A011E"/>
    <w:rsid w:val="001A066A"/>
    <w:rsid w:val="001A13E6"/>
    <w:rsid w:val="001A382D"/>
    <w:rsid w:val="001A4B55"/>
    <w:rsid w:val="001A5731"/>
    <w:rsid w:val="001A60BF"/>
    <w:rsid w:val="001A6EE3"/>
    <w:rsid w:val="001A70AB"/>
    <w:rsid w:val="001A7F68"/>
    <w:rsid w:val="001B0AD1"/>
    <w:rsid w:val="001B2E71"/>
    <w:rsid w:val="001B42C3"/>
    <w:rsid w:val="001B5939"/>
    <w:rsid w:val="001C1532"/>
    <w:rsid w:val="001C21C2"/>
    <w:rsid w:val="001C391C"/>
    <w:rsid w:val="001C3F04"/>
    <w:rsid w:val="001C5D5E"/>
    <w:rsid w:val="001D1B96"/>
    <w:rsid w:val="001D3606"/>
    <w:rsid w:val="001D678D"/>
    <w:rsid w:val="001D6B95"/>
    <w:rsid w:val="001E03F8"/>
    <w:rsid w:val="001E12C0"/>
    <w:rsid w:val="001E1678"/>
    <w:rsid w:val="001E3376"/>
    <w:rsid w:val="001E561E"/>
    <w:rsid w:val="001E7192"/>
    <w:rsid w:val="001F3375"/>
    <w:rsid w:val="002005E3"/>
    <w:rsid w:val="002018CC"/>
    <w:rsid w:val="002069B3"/>
    <w:rsid w:val="00206B28"/>
    <w:rsid w:val="00211440"/>
    <w:rsid w:val="00211865"/>
    <w:rsid w:val="00213244"/>
    <w:rsid w:val="0021355D"/>
    <w:rsid w:val="00213A89"/>
    <w:rsid w:val="002159FE"/>
    <w:rsid w:val="00215DC1"/>
    <w:rsid w:val="00216D87"/>
    <w:rsid w:val="00221C73"/>
    <w:rsid w:val="00224C93"/>
    <w:rsid w:val="002256CA"/>
    <w:rsid w:val="002329CF"/>
    <w:rsid w:val="00232F5B"/>
    <w:rsid w:val="002369C8"/>
    <w:rsid w:val="0023761C"/>
    <w:rsid w:val="00244FEC"/>
    <w:rsid w:val="00247C29"/>
    <w:rsid w:val="00251AD9"/>
    <w:rsid w:val="00251ED0"/>
    <w:rsid w:val="00252152"/>
    <w:rsid w:val="002559AF"/>
    <w:rsid w:val="00256350"/>
    <w:rsid w:val="00260467"/>
    <w:rsid w:val="00261C3B"/>
    <w:rsid w:val="00261D35"/>
    <w:rsid w:val="00263478"/>
    <w:rsid w:val="00263EA3"/>
    <w:rsid w:val="00265216"/>
    <w:rsid w:val="00265217"/>
    <w:rsid w:val="00265BB1"/>
    <w:rsid w:val="002665C2"/>
    <w:rsid w:val="002668C9"/>
    <w:rsid w:val="0028004E"/>
    <w:rsid w:val="00280FB8"/>
    <w:rsid w:val="00281FC5"/>
    <w:rsid w:val="00282E07"/>
    <w:rsid w:val="00284BA8"/>
    <w:rsid w:val="00284F85"/>
    <w:rsid w:val="00285D6F"/>
    <w:rsid w:val="002873F1"/>
    <w:rsid w:val="00287FB6"/>
    <w:rsid w:val="00290915"/>
    <w:rsid w:val="002925C6"/>
    <w:rsid w:val="00292C57"/>
    <w:rsid w:val="00294DDB"/>
    <w:rsid w:val="00296AD0"/>
    <w:rsid w:val="002A15EC"/>
    <w:rsid w:val="002A22E2"/>
    <w:rsid w:val="002A52D8"/>
    <w:rsid w:val="002A6922"/>
    <w:rsid w:val="002B0315"/>
    <w:rsid w:val="002B047B"/>
    <w:rsid w:val="002B33AE"/>
    <w:rsid w:val="002B3A96"/>
    <w:rsid w:val="002B55A9"/>
    <w:rsid w:val="002B74C9"/>
    <w:rsid w:val="002B7659"/>
    <w:rsid w:val="002C45FC"/>
    <w:rsid w:val="002C466A"/>
    <w:rsid w:val="002C556E"/>
    <w:rsid w:val="002C64F7"/>
    <w:rsid w:val="002C6653"/>
    <w:rsid w:val="002D1679"/>
    <w:rsid w:val="002D2AFE"/>
    <w:rsid w:val="002D4A0A"/>
    <w:rsid w:val="002E033A"/>
    <w:rsid w:val="002E0A00"/>
    <w:rsid w:val="002E3728"/>
    <w:rsid w:val="002E4F99"/>
    <w:rsid w:val="002E5120"/>
    <w:rsid w:val="002E6433"/>
    <w:rsid w:val="002E7AE3"/>
    <w:rsid w:val="002F41F2"/>
    <w:rsid w:val="002F5517"/>
    <w:rsid w:val="002F567B"/>
    <w:rsid w:val="00301BF3"/>
    <w:rsid w:val="0030208D"/>
    <w:rsid w:val="003025E1"/>
    <w:rsid w:val="00304AD6"/>
    <w:rsid w:val="003071F2"/>
    <w:rsid w:val="00307EE2"/>
    <w:rsid w:val="00313F90"/>
    <w:rsid w:val="00314274"/>
    <w:rsid w:val="00316628"/>
    <w:rsid w:val="003209BA"/>
    <w:rsid w:val="00323418"/>
    <w:rsid w:val="00324B36"/>
    <w:rsid w:val="00325E71"/>
    <w:rsid w:val="00326774"/>
    <w:rsid w:val="0033039D"/>
    <w:rsid w:val="00330A1E"/>
    <w:rsid w:val="003321B6"/>
    <w:rsid w:val="003357BF"/>
    <w:rsid w:val="00343A18"/>
    <w:rsid w:val="00360AA3"/>
    <w:rsid w:val="00360CE3"/>
    <w:rsid w:val="00362D48"/>
    <w:rsid w:val="00364FAD"/>
    <w:rsid w:val="0036738F"/>
    <w:rsid w:val="0036759C"/>
    <w:rsid w:val="003676C3"/>
    <w:rsid w:val="00367AE5"/>
    <w:rsid w:val="00367D71"/>
    <w:rsid w:val="003717C7"/>
    <w:rsid w:val="0037202D"/>
    <w:rsid w:val="003763B6"/>
    <w:rsid w:val="00376EE5"/>
    <w:rsid w:val="00376F9F"/>
    <w:rsid w:val="0038150A"/>
    <w:rsid w:val="00381C65"/>
    <w:rsid w:val="00390138"/>
    <w:rsid w:val="003940F3"/>
    <w:rsid w:val="00395475"/>
    <w:rsid w:val="00395F98"/>
    <w:rsid w:val="0039720B"/>
    <w:rsid w:val="003976F3"/>
    <w:rsid w:val="003A1AD0"/>
    <w:rsid w:val="003A1FE9"/>
    <w:rsid w:val="003A3FE3"/>
    <w:rsid w:val="003A42F5"/>
    <w:rsid w:val="003A54BA"/>
    <w:rsid w:val="003A55C4"/>
    <w:rsid w:val="003A74EF"/>
    <w:rsid w:val="003B0A0D"/>
    <w:rsid w:val="003B4838"/>
    <w:rsid w:val="003B6E75"/>
    <w:rsid w:val="003B7DA1"/>
    <w:rsid w:val="003C00F3"/>
    <w:rsid w:val="003C0757"/>
    <w:rsid w:val="003C12FE"/>
    <w:rsid w:val="003C3080"/>
    <w:rsid w:val="003C4BFF"/>
    <w:rsid w:val="003C619C"/>
    <w:rsid w:val="003C6543"/>
    <w:rsid w:val="003C7DE4"/>
    <w:rsid w:val="003D0379"/>
    <w:rsid w:val="003D07DB"/>
    <w:rsid w:val="003D2503"/>
    <w:rsid w:val="003D2574"/>
    <w:rsid w:val="003D4C59"/>
    <w:rsid w:val="003D686A"/>
    <w:rsid w:val="003E0233"/>
    <w:rsid w:val="003E7349"/>
    <w:rsid w:val="003E75E2"/>
    <w:rsid w:val="003F3AEA"/>
    <w:rsid w:val="003F3B2B"/>
    <w:rsid w:val="003F4267"/>
    <w:rsid w:val="003F50F9"/>
    <w:rsid w:val="003F6F7C"/>
    <w:rsid w:val="003F7042"/>
    <w:rsid w:val="00401619"/>
    <w:rsid w:val="00404032"/>
    <w:rsid w:val="00406D7A"/>
    <w:rsid w:val="00406DD2"/>
    <w:rsid w:val="0040736F"/>
    <w:rsid w:val="00407BA5"/>
    <w:rsid w:val="00412C1F"/>
    <w:rsid w:val="00413512"/>
    <w:rsid w:val="0041397C"/>
    <w:rsid w:val="00420257"/>
    <w:rsid w:val="00420868"/>
    <w:rsid w:val="00421CB2"/>
    <w:rsid w:val="004268B9"/>
    <w:rsid w:val="0042754C"/>
    <w:rsid w:val="004332E4"/>
    <w:rsid w:val="00433B96"/>
    <w:rsid w:val="00434790"/>
    <w:rsid w:val="004440F1"/>
    <w:rsid w:val="0044415D"/>
    <w:rsid w:val="004455BC"/>
    <w:rsid w:val="004456DD"/>
    <w:rsid w:val="00446085"/>
    <w:rsid w:val="00446CDF"/>
    <w:rsid w:val="00446E08"/>
    <w:rsid w:val="004521B7"/>
    <w:rsid w:val="00452FEE"/>
    <w:rsid w:val="00455A06"/>
    <w:rsid w:val="00455A6A"/>
    <w:rsid w:val="0045613A"/>
    <w:rsid w:val="00457CCE"/>
    <w:rsid w:val="00462AB5"/>
    <w:rsid w:val="0046414D"/>
    <w:rsid w:val="00465EAF"/>
    <w:rsid w:val="00470A86"/>
    <w:rsid w:val="004722D2"/>
    <w:rsid w:val="0047351F"/>
    <w:rsid w:val="004738C5"/>
    <w:rsid w:val="00474C2A"/>
    <w:rsid w:val="00476627"/>
    <w:rsid w:val="00476CDE"/>
    <w:rsid w:val="00481CC1"/>
    <w:rsid w:val="00491046"/>
    <w:rsid w:val="00491307"/>
    <w:rsid w:val="0049449D"/>
    <w:rsid w:val="004945B4"/>
    <w:rsid w:val="004A2AC7"/>
    <w:rsid w:val="004A3EAE"/>
    <w:rsid w:val="004A6D2F"/>
    <w:rsid w:val="004B5708"/>
    <w:rsid w:val="004B644B"/>
    <w:rsid w:val="004B6807"/>
    <w:rsid w:val="004B6D7A"/>
    <w:rsid w:val="004C2887"/>
    <w:rsid w:val="004C44FE"/>
    <w:rsid w:val="004C6918"/>
    <w:rsid w:val="004D1B2B"/>
    <w:rsid w:val="004D2626"/>
    <w:rsid w:val="004D30FD"/>
    <w:rsid w:val="004D3A93"/>
    <w:rsid w:val="004D6E26"/>
    <w:rsid w:val="004D77D3"/>
    <w:rsid w:val="004E27A6"/>
    <w:rsid w:val="004E2959"/>
    <w:rsid w:val="004E7EEE"/>
    <w:rsid w:val="004F09E4"/>
    <w:rsid w:val="004F20EF"/>
    <w:rsid w:val="004F260A"/>
    <w:rsid w:val="004F652C"/>
    <w:rsid w:val="004F7AF1"/>
    <w:rsid w:val="0050321C"/>
    <w:rsid w:val="00507E3B"/>
    <w:rsid w:val="00515E8A"/>
    <w:rsid w:val="005223AA"/>
    <w:rsid w:val="00522F06"/>
    <w:rsid w:val="00523412"/>
    <w:rsid w:val="00523E35"/>
    <w:rsid w:val="0052595A"/>
    <w:rsid w:val="005300D5"/>
    <w:rsid w:val="005305BD"/>
    <w:rsid w:val="00534A13"/>
    <w:rsid w:val="005367B7"/>
    <w:rsid w:val="00536A53"/>
    <w:rsid w:val="00537BD6"/>
    <w:rsid w:val="005422B3"/>
    <w:rsid w:val="0054712D"/>
    <w:rsid w:val="00547EF6"/>
    <w:rsid w:val="0055120B"/>
    <w:rsid w:val="00554BDE"/>
    <w:rsid w:val="0055522B"/>
    <w:rsid w:val="005570B5"/>
    <w:rsid w:val="005571E3"/>
    <w:rsid w:val="005603CD"/>
    <w:rsid w:val="00566828"/>
    <w:rsid w:val="00567E18"/>
    <w:rsid w:val="00570380"/>
    <w:rsid w:val="0057081B"/>
    <w:rsid w:val="005719CC"/>
    <w:rsid w:val="00572110"/>
    <w:rsid w:val="00575961"/>
    <w:rsid w:val="00575F5F"/>
    <w:rsid w:val="00581805"/>
    <w:rsid w:val="005818C8"/>
    <w:rsid w:val="0058330D"/>
    <w:rsid w:val="00585F76"/>
    <w:rsid w:val="005865ED"/>
    <w:rsid w:val="005A022D"/>
    <w:rsid w:val="005A34E4"/>
    <w:rsid w:val="005A679D"/>
    <w:rsid w:val="005A7896"/>
    <w:rsid w:val="005B020D"/>
    <w:rsid w:val="005B17F2"/>
    <w:rsid w:val="005B264D"/>
    <w:rsid w:val="005B3C02"/>
    <w:rsid w:val="005B5285"/>
    <w:rsid w:val="005B55EF"/>
    <w:rsid w:val="005B7FB0"/>
    <w:rsid w:val="005C007E"/>
    <w:rsid w:val="005C35A5"/>
    <w:rsid w:val="005C3FA3"/>
    <w:rsid w:val="005C577C"/>
    <w:rsid w:val="005C5E16"/>
    <w:rsid w:val="005C668C"/>
    <w:rsid w:val="005D0621"/>
    <w:rsid w:val="005D1E27"/>
    <w:rsid w:val="005D2444"/>
    <w:rsid w:val="005D2A3E"/>
    <w:rsid w:val="005D4972"/>
    <w:rsid w:val="005D5369"/>
    <w:rsid w:val="005D58A0"/>
    <w:rsid w:val="005D76D6"/>
    <w:rsid w:val="005E022E"/>
    <w:rsid w:val="005E0254"/>
    <w:rsid w:val="005E288E"/>
    <w:rsid w:val="005E5215"/>
    <w:rsid w:val="005E64CB"/>
    <w:rsid w:val="005F01A3"/>
    <w:rsid w:val="005F02D7"/>
    <w:rsid w:val="005F7F7E"/>
    <w:rsid w:val="00603608"/>
    <w:rsid w:val="00603A2F"/>
    <w:rsid w:val="00604162"/>
    <w:rsid w:val="00604A65"/>
    <w:rsid w:val="00604B4C"/>
    <w:rsid w:val="006066BA"/>
    <w:rsid w:val="006124CA"/>
    <w:rsid w:val="00614693"/>
    <w:rsid w:val="00614D6B"/>
    <w:rsid w:val="006151ED"/>
    <w:rsid w:val="00623C2F"/>
    <w:rsid w:val="00627083"/>
    <w:rsid w:val="00630C9F"/>
    <w:rsid w:val="00632588"/>
    <w:rsid w:val="00633578"/>
    <w:rsid w:val="00634D35"/>
    <w:rsid w:val="00636769"/>
    <w:rsid w:val="00636A00"/>
    <w:rsid w:val="00637068"/>
    <w:rsid w:val="00637A6A"/>
    <w:rsid w:val="00640B28"/>
    <w:rsid w:val="00642EFF"/>
    <w:rsid w:val="00643ECB"/>
    <w:rsid w:val="0064625F"/>
    <w:rsid w:val="00650642"/>
    <w:rsid w:val="00650811"/>
    <w:rsid w:val="006546AD"/>
    <w:rsid w:val="00657207"/>
    <w:rsid w:val="00661D3E"/>
    <w:rsid w:val="006633F1"/>
    <w:rsid w:val="0066395F"/>
    <w:rsid w:val="00666094"/>
    <w:rsid w:val="0067298D"/>
    <w:rsid w:val="00686C24"/>
    <w:rsid w:val="00690479"/>
    <w:rsid w:val="00692627"/>
    <w:rsid w:val="006927FE"/>
    <w:rsid w:val="0069664A"/>
    <w:rsid w:val="006969E7"/>
    <w:rsid w:val="0069773D"/>
    <w:rsid w:val="006977C1"/>
    <w:rsid w:val="00697F53"/>
    <w:rsid w:val="006A03DC"/>
    <w:rsid w:val="006A24EB"/>
    <w:rsid w:val="006A3643"/>
    <w:rsid w:val="006A3DC9"/>
    <w:rsid w:val="006B06A0"/>
    <w:rsid w:val="006B7532"/>
    <w:rsid w:val="006B77BE"/>
    <w:rsid w:val="006B79D4"/>
    <w:rsid w:val="006B7C26"/>
    <w:rsid w:val="006B7F04"/>
    <w:rsid w:val="006C1250"/>
    <w:rsid w:val="006C2A29"/>
    <w:rsid w:val="006C32F5"/>
    <w:rsid w:val="006C483B"/>
    <w:rsid w:val="006C577F"/>
    <w:rsid w:val="006C64CF"/>
    <w:rsid w:val="006C6AFD"/>
    <w:rsid w:val="006C745D"/>
    <w:rsid w:val="006C78E9"/>
    <w:rsid w:val="006D17B1"/>
    <w:rsid w:val="006D1FD7"/>
    <w:rsid w:val="006D4147"/>
    <w:rsid w:val="006D4339"/>
    <w:rsid w:val="006D4752"/>
    <w:rsid w:val="006D583C"/>
    <w:rsid w:val="006D5DCB"/>
    <w:rsid w:val="006D708A"/>
    <w:rsid w:val="006E14C1"/>
    <w:rsid w:val="006E4B8F"/>
    <w:rsid w:val="006F0292"/>
    <w:rsid w:val="006F27FA"/>
    <w:rsid w:val="006F416B"/>
    <w:rsid w:val="006F4D93"/>
    <w:rsid w:val="006F519B"/>
    <w:rsid w:val="006F7CC4"/>
    <w:rsid w:val="006F7FA7"/>
    <w:rsid w:val="0070575B"/>
    <w:rsid w:val="00712C94"/>
    <w:rsid w:val="00713675"/>
    <w:rsid w:val="00715823"/>
    <w:rsid w:val="0073065E"/>
    <w:rsid w:val="00732BDF"/>
    <w:rsid w:val="007333C3"/>
    <w:rsid w:val="00734425"/>
    <w:rsid w:val="00736955"/>
    <w:rsid w:val="00737B93"/>
    <w:rsid w:val="007415CA"/>
    <w:rsid w:val="00744A70"/>
    <w:rsid w:val="00745BF0"/>
    <w:rsid w:val="00752960"/>
    <w:rsid w:val="00752ADC"/>
    <w:rsid w:val="0075664A"/>
    <w:rsid w:val="007615FE"/>
    <w:rsid w:val="0076287E"/>
    <w:rsid w:val="00762B40"/>
    <w:rsid w:val="0076348D"/>
    <w:rsid w:val="0076655C"/>
    <w:rsid w:val="00770551"/>
    <w:rsid w:val="007714C1"/>
    <w:rsid w:val="00773000"/>
    <w:rsid w:val="007742DC"/>
    <w:rsid w:val="00775283"/>
    <w:rsid w:val="007766F3"/>
    <w:rsid w:val="00780CF7"/>
    <w:rsid w:val="007839B9"/>
    <w:rsid w:val="00784884"/>
    <w:rsid w:val="00785148"/>
    <w:rsid w:val="007907D7"/>
    <w:rsid w:val="00791437"/>
    <w:rsid w:val="0079321F"/>
    <w:rsid w:val="00797AC9"/>
    <w:rsid w:val="007A3813"/>
    <w:rsid w:val="007B0C2C"/>
    <w:rsid w:val="007B12FE"/>
    <w:rsid w:val="007B278E"/>
    <w:rsid w:val="007B2B0E"/>
    <w:rsid w:val="007B3359"/>
    <w:rsid w:val="007B4795"/>
    <w:rsid w:val="007C023C"/>
    <w:rsid w:val="007C282E"/>
    <w:rsid w:val="007C3CF1"/>
    <w:rsid w:val="007C42D2"/>
    <w:rsid w:val="007C5C23"/>
    <w:rsid w:val="007C6F8A"/>
    <w:rsid w:val="007D0E21"/>
    <w:rsid w:val="007D1829"/>
    <w:rsid w:val="007D6B84"/>
    <w:rsid w:val="007E0F4C"/>
    <w:rsid w:val="007E28E1"/>
    <w:rsid w:val="007E2A26"/>
    <w:rsid w:val="007E48D6"/>
    <w:rsid w:val="007E64F0"/>
    <w:rsid w:val="007E75B1"/>
    <w:rsid w:val="007F0269"/>
    <w:rsid w:val="007F0928"/>
    <w:rsid w:val="007F0A26"/>
    <w:rsid w:val="007F1C7F"/>
    <w:rsid w:val="007F2348"/>
    <w:rsid w:val="007F32E0"/>
    <w:rsid w:val="007F6499"/>
    <w:rsid w:val="0080190A"/>
    <w:rsid w:val="00801D11"/>
    <w:rsid w:val="00802422"/>
    <w:rsid w:val="00803F07"/>
    <w:rsid w:val="00803F1A"/>
    <w:rsid w:val="008050A5"/>
    <w:rsid w:val="008062C7"/>
    <w:rsid w:val="0080749A"/>
    <w:rsid w:val="008074F3"/>
    <w:rsid w:val="008077F8"/>
    <w:rsid w:val="008143FE"/>
    <w:rsid w:val="00817482"/>
    <w:rsid w:val="00820D78"/>
    <w:rsid w:val="00821FB8"/>
    <w:rsid w:val="00822ACD"/>
    <w:rsid w:val="008256E0"/>
    <w:rsid w:val="0083132A"/>
    <w:rsid w:val="00834726"/>
    <w:rsid w:val="00834AED"/>
    <w:rsid w:val="00836886"/>
    <w:rsid w:val="00836AE5"/>
    <w:rsid w:val="00837854"/>
    <w:rsid w:val="00840885"/>
    <w:rsid w:val="00843591"/>
    <w:rsid w:val="008506C4"/>
    <w:rsid w:val="00851CD5"/>
    <w:rsid w:val="00852FE1"/>
    <w:rsid w:val="008530EB"/>
    <w:rsid w:val="008548DE"/>
    <w:rsid w:val="00855C66"/>
    <w:rsid w:val="00857134"/>
    <w:rsid w:val="008575E2"/>
    <w:rsid w:val="0086218C"/>
    <w:rsid w:val="00863602"/>
    <w:rsid w:val="00866DBA"/>
    <w:rsid w:val="00871859"/>
    <w:rsid w:val="00871C32"/>
    <w:rsid w:val="00871EE4"/>
    <w:rsid w:val="00872059"/>
    <w:rsid w:val="00872B70"/>
    <w:rsid w:val="00876831"/>
    <w:rsid w:val="008837D8"/>
    <w:rsid w:val="00883BA7"/>
    <w:rsid w:val="00884F7C"/>
    <w:rsid w:val="00886820"/>
    <w:rsid w:val="00886CF6"/>
    <w:rsid w:val="00886F33"/>
    <w:rsid w:val="0089212D"/>
    <w:rsid w:val="00896DE7"/>
    <w:rsid w:val="008A4D6B"/>
    <w:rsid w:val="008A7B67"/>
    <w:rsid w:val="008B0D2B"/>
    <w:rsid w:val="008B1958"/>
    <w:rsid w:val="008B293F"/>
    <w:rsid w:val="008B305E"/>
    <w:rsid w:val="008B6745"/>
    <w:rsid w:val="008B7371"/>
    <w:rsid w:val="008B769E"/>
    <w:rsid w:val="008C0A73"/>
    <w:rsid w:val="008C2114"/>
    <w:rsid w:val="008D0B22"/>
    <w:rsid w:val="008D3180"/>
    <w:rsid w:val="008D3DDB"/>
    <w:rsid w:val="008D3FE6"/>
    <w:rsid w:val="008D5B32"/>
    <w:rsid w:val="008D7BF9"/>
    <w:rsid w:val="008E04AF"/>
    <w:rsid w:val="008E63DE"/>
    <w:rsid w:val="008F094F"/>
    <w:rsid w:val="008F09F3"/>
    <w:rsid w:val="008F5168"/>
    <w:rsid w:val="008F5712"/>
    <w:rsid w:val="008F573F"/>
    <w:rsid w:val="008F6E30"/>
    <w:rsid w:val="008F7357"/>
    <w:rsid w:val="009023B2"/>
    <w:rsid w:val="009034EC"/>
    <w:rsid w:val="0090421C"/>
    <w:rsid w:val="00905148"/>
    <w:rsid w:val="00911085"/>
    <w:rsid w:val="009168D9"/>
    <w:rsid w:val="00916C63"/>
    <w:rsid w:val="009208BD"/>
    <w:rsid w:val="009210B1"/>
    <w:rsid w:val="00921926"/>
    <w:rsid w:val="00923390"/>
    <w:rsid w:val="00927B21"/>
    <w:rsid w:val="0093067A"/>
    <w:rsid w:val="009306BD"/>
    <w:rsid w:val="00930C84"/>
    <w:rsid w:val="00934C3F"/>
    <w:rsid w:val="00934D30"/>
    <w:rsid w:val="00934E6B"/>
    <w:rsid w:val="009367F2"/>
    <w:rsid w:val="009370F6"/>
    <w:rsid w:val="009372F1"/>
    <w:rsid w:val="00941C60"/>
    <w:rsid w:val="00944F46"/>
    <w:rsid w:val="009459D9"/>
    <w:rsid w:val="00946452"/>
    <w:rsid w:val="009477B5"/>
    <w:rsid w:val="00952FBA"/>
    <w:rsid w:val="009559D8"/>
    <w:rsid w:val="00956A47"/>
    <w:rsid w:val="00957365"/>
    <w:rsid w:val="00960799"/>
    <w:rsid w:val="00964041"/>
    <w:rsid w:val="00964187"/>
    <w:rsid w:val="00966D42"/>
    <w:rsid w:val="00970A75"/>
    <w:rsid w:val="00971689"/>
    <w:rsid w:val="00973E90"/>
    <w:rsid w:val="00975B07"/>
    <w:rsid w:val="00976BCD"/>
    <w:rsid w:val="00977766"/>
    <w:rsid w:val="00980B4A"/>
    <w:rsid w:val="009821E2"/>
    <w:rsid w:val="0099724D"/>
    <w:rsid w:val="009A34AD"/>
    <w:rsid w:val="009B0200"/>
    <w:rsid w:val="009B0344"/>
    <w:rsid w:val="009B11F3"/>
    <w:rsid w:val="009B19BD"/>
    <w:rsid w:val="009B381B"/>
    <w:rsid w:val="009B4BFF"/>
    <w:rsid w:val="009B6D80"/>
    <w:rsid w:val="009B708C"/>
    <w:rsid w:val="009B76C1"/>
    <w:rsid w:val="009C0CE9"/>
    <w:rsid w:val="009C177B"/>
    <w:rsid w:val="009C59A8"/>
    <w:rsid w:val="009C59F4"/>
    <w:rsid w:val="009E0AA3"/>
    <w:rsid w:val="009E1B80"/>
    <w:rsid w:val="009E29FD"/>
    <w:rsid w:val="009E3D0A"/>
    <w:rsid w:val="009E4858"/>
    <w:rsid w:val="009E51FC"/>
    <w:rsid w:val="009E763E"/>
    <w:rsid w:val="009F1D28"/>
    <w:rsid w:val="009F3585"/>
    <w:rsid w:val="009F6EEC"/>
    <w:rsid w:val="009F7618"/>
    <w:rsid w:val="00A0396D"/>
    <w:rsid w:val="00A04CDB"/>
    <w:rsid w:val="00A04D23"/>
    <w:rsid w:val="00A06766"/>
    <w:rsid w:val="00A11423"/>
    <w:rsid w:val="00A11896"/>
    <w:rsid w:val="00A12649"/>
    <w:rsid w:val="00A13765"/>
    <w:rsid w:val="00A17470"/>
    <w:rsid w:val="00A21278"/>
    <w:rsid w:val="00A21B12"/>
    <w:rsid w:val="00A22708"/>
    <w:rsid w:val="00A23CB8"/>
    <w:rsid w:val="00A23F80"/>
    <w:rsid w:val="00A31C7F"/>
    <w:rsid w:val="00A35FDB"/>
    <w:rsid w:val="00A36624"/>
    <w:rsid w:val="00A3669C"/>
    <w:rsid w:val="00A40EFD"/>
    <w:rsid w:val="00A4165B"/>
    <w:rsid w:val="00A46404"/>
    <w:rsid w:val="00A46CDF"/>
    <w:rsid w:val="00A46CED"/>
    <w:rsid w:val="00A46E98"/>
    <w:rsid w:val="00A46FE0"/>
    <w:rsid w:val="00A50727"/>
    <w:rsid w:val="00A51D23"/>
    <w:rsid w:val="00A523F4"/>
    <w:rsid w:val="00A54385"/>
    <w:rsid w:val="00A6352B"/>
    <w:rsid w:val="00A65A22"/>
    <w:rsid w:val="00A666B3"/>
    <w:rsid w:val="00A67BC1"/>
    <w:rsid w:val="00A701B5"/>
    <w:rsid w:val="00A70EFC"/>
    <w:rsid w:val="00A714BB"/>
    <w:rsid w:val="00A728FE"/>
    <w:rsid w:val="00A7477D"/>
    <w:rsid w:val="00A77659"/>
    <w:rsid w:val="00A81280"/>
    <w:rsid w:val="00A82AF9"/>
    <w:rsid w:val="00A85B0E"/>
    <w:rsid w:val="00A90B00"/>
    <w:rsid w:val="00A91B9B"/>
    <w:rsid w:val="00A9244B"/>
    <w:rsid w:val="00A92D8F"/>
    <w:rsid w:val="00A93767"/>
    <w:rsid w:val="00A94C30"/>
    <w:rsid w:val="00AA5D03"/>
    <w:rsid w:val="00AB24EA"/>
    <w:rsid w:val="00AB2988"/>
    <w:rsid w:val="00AB62F0"/>
    <w:rsid w:val="00AB6B54"/>
    <w:rsid w:val="00AB7999"/>
    <w:rsid w:val="00AC1715"/>
    <w:rsid w:val="00AC3073"/>
    <w:rsid w:val="00AC4174"/>
    <w:rsid w:val="00AC659B"/>
    <w:rsid w:val="00AD186F"/>
    <w:rsid w:val="00AD204C"/>
    <w:rsid w:val="00AD3292"/>
    <w:rsid w:val="00AD74C1"/>
    <w:rsid w:val="00AE0FC6"/>
    <w:rsid w:val="00AE7AF0"/>
    <w:rsid w:val="00AE7BB8"/>
    <w:rsid w:val="00AF0804"/>
    <w:rsid w:val="00AF300F"/>
    <w:rsid w:val="00AF386F"/>
    <w:rsid w:val="00AF7460"/>
    <w:rsid w:val="00AF7E6D"/>
    <w:rsid w:val="00B01E78"/>
    <w:rsid w:val="00B02C0B"/>
    <w:rsid w:val="00B11B9B"/>
    <w:rsid w:val="00B123AC"/>
    <w:rsid w:val="00B12DC2"/>
    <w:rsid w:val="00B153AB"/>
    <w:rsid w:val="00B17804"/>
    <w:rsid w:val="00B2061D"/>
    <w:rsid w:val="00B22FEE"/>
    <w:rsid w:val="00B32485"/>
    <w:rsid w:val="00B32995"/>
    <w:rsid w:val="00B356DD"/>
    <w:rsid w:val="00B36454"/>
    <w:rsid w:val="00B40416"/>
    <w:rsid w:val="00B43003"/>
    <w:rsid w:val="00B43A09"/>
    <w:rsid w:val="00B44E1B"/>
    <w:rsid w:val="00B45680"/>
    <w:rsid w:val="00B46930"/>
    <w:rsid w:val="00B500CA"/>
    <w:rsid w:val="00B537C2"/>
    <w:rsid w:val="00B53FB6"/>
    <w:rsid w:val="00B61C6A"/>
    <w:rsid w:val="00B641D9"/>
    <w:rsid w:val="00B6503D"/>
    <w:rsid w:val="00B71CA0"/>
    <w:rsid w:val="00B74923"/>
    <w:rsid w:val="00B76175"/>
    <w:rsid w:val="00B8084E"/>
    <w:rsid w:val="00B80C36"/>
    <w:rsid w:val="00B834BD"/>
    <w:rsid w:val="00B83F15"/>
    <w:rsid w:val="00B84D7D"/>
    <w:rsid w:val="00B86314"/>
    <w:rsid w:val="00B87386"/>
    <w:rsid w:val="00B92AA5"/>
    <w:rsid w:val="00B93514"/>
    <w:rsid w:val="00B94D18"/>
    <w:rsid w:val="00B954BE"/>
    <w:rsid w:val="00B968EC"/>
    <w:rsid w:val="00BA1C2E"/>
    <w:rsid w:val="00BA6A54"/>
    <w:rsid w:val="00BB12F0"/>
    <w:rsid w:val="00BB318F"/>
    <w:rsid w:val="00BB420C"/>
    <w:rsid w:val="00BB6A43"/>
    <w:rsid w:val="00BB74FC"/>
    <w:rsid w:val="00BC200B"/>
    <w:rsid w:val="00BC254C"/>
    <w:rsid w:val="00BC4756"/>
    <w:rsid w:val="00BC54ED"/>
    <w:rsid w:val="00BC69A4"/>
    <w:rsid w:val="00BC73EE"/>
    <w:rsid w:val="00BC7571"/>
    <w:rsid w:val="00BD3B6D"/>
    <w:rsid w:val="00BD5867"/>
    <w:rsid w:val="00BE0680"/>
    <w:rsid w:val="00BE305F"/>
    <w:rsid w:val="00BE5A97"/>
    <w:rsid w:val="00BE7BA3"/>
    <w:rsid w:val="00BF2AF4"/>
    <w:rsid w:val="00BF4EE9"/>
    <w:rsid w:val="00BF5682"/>
    <w:rsid w:val="00BF7B09"/>
    <w:rsid w:val="00C00652"/>
    <w:rsid w:val="00C00F7E"/>
    <w:rsid w:val="00C0174C"/>
    <w:rsid w:val="00C0425E"/>
    <w:rsid w:val="00C0509E"/>
    <w:rsid w:val="00C10C69"/>
    <w:rsid w:val="00C11950"/>
    <w:rsid w:val="00C13033"/>
    <w:rsid w:val="00C20A95"/>
    <w:rsid w:val="00C23F79"/>
    <w:rsid w:val="00C25AD8"/>
    <w:rsid w:val="00C2674F"/>
    <w:rsid w:val="00C2692F"/>
    <w:rsid w:val="00C3207C"/>
    <w:rsid w:val="00C32898"/>
    <w:rsid w:val="00C32BB4"/>
    <w:rsid w:val="00C34670"/>
    <w:rsid w:val="00C34ACE"/>
    <w:rsid w:val="00C377A0"/>
    <w:rsid w:val="00C400E1"/>
    <w:rsid w:val="00C4015E"/>
    <w:rsid w:val="00C41187"/>
    <w:rsid w:val="00C41ADA"/>
    <w:rsid w:val="00C44D88"/>
    <w:rsid w:val="00C506C5"/>
    <w:rsid w:val="00C512A1"/>
    <w:rsid w:val="00C52127"/>
    <w:rsid w:val="00C60772"/>
    <w:rsid w:val="00C6078C"/>
    <w:rsid w:val="00C63C31"/>
    <w:rsid w:val="00C73206"/>
    <w:rsid w:val="00C733A4"/>
    <w:rsid w:val="00C757A0"/>
    <w:rsid w:val="00C757BB"/>
    <w:rsid w:val="00C760DE"/>
    <w:rsid w:val="00C80AFB"/>
    <w:rsid w:val="00C80E03"/>
    <w:rsid w:val="00C82630"/>
    <w:rsid w:val="00C845F5"/>
    <w:rsid w:val="00C84C29"/>
    <w:rsid w:val="00C85B4E"/>
    <w:rsid w:val="00C8750C"/>
    <w:rsid w:val="00C907F7"/>
    <w:rsid w:val="00C92C66"/>
    <w:rsid w:val="00C92CB1"/>
    <w:rsid w:val="00C94EE4"/>
    <w:rsid w:val="00C96C7F"/>
    <w:rsid w:val="00CA0195"/>
    <w:rsid w:val="00CA0771"/>
    <w:rsid w:val="00CA2103"/>
    <w:rsid w:val="00CA2737"/>
    <w:rsid w:val="00CA32BE"/>
    <w:rsid w:val="00CB1229"/>
    <w:rsid w:val="00CB3D91"/>
    <w:rsid w:val="00CB6B99"/>
    <w:rsid w:val="00CC0A43"/>
    <w:rsid w:val="00CC0CCD"/>
    <w:rsid w:val="00CC2459"/>
    <w:rsid w:val="00CC3C84"/>
    <w:rsid w:val="00CC59C6"/>
    <w:rsid w:val="00CD211A"/>
    <w:rsid w:val="00CD6231"/>
    <w:rsid w:val="00CD6F77"/>
    <w:rsid w:val="00CE22BA"/>
    <w:rsid w:val="00CE4C87"/>
    <w:rsid w:val="00CE544A"/>
    <w:rsid w:val="00CE6D84"/>
    <w:rsid w:val="00CF58EC"/>
    <w:rsid w:val="00CF795B"/>
    <w:rsid w:val="00D04C25"/>
    <w:rsid w:val="00D06841"/>
    <w:rsid w:val="00D0745E"/>
    <w:rsid w:val="00D11E1C"/>
    <w:rsid w:val="00D12262"/>
    <w:rsid w:val="00D122CB"/>
    <w:rsid w:val="00D160B0"/>
    <w:rsid w:val="00D16593"/>
    <w:rsid w:val="00D17F94"/>
    <w:rsid w:val="00D2163E"/>
    <w:rsid w:val="00D21C23"/>
    <w:rsid w:val="00D223FC"/>
    <w:rsid w:val="00D22960"/>
    <w:rsid w:val="00D241FF"/>
    <w:rsid w:val="00D24FF1"/>
    <w:rsid w:val="00D25A03"/>
    <w:rsid w:val="00D26D1E"/>
    <w:rsid w:val="00D32046"/>
    <w:rsid w:val="00D354EF"/>
    <w:rsid w:val="00D36B34"/>
    <w:rsid w:val="00D4040D"/>
    <w:rsid w:val="00D41A9C"/>
    <w:rsid w:val="00D43CE9"/>
    <w:rsid w:val="00D44685"/>
    <w:rsid w:val="00D45E2B"/>
    <w:rsid w:val="00D474CF"/>
    <w:rsid w:val="00D51A4D"/>
    <w:rsid w:val="00D5547E"/>
    <w:rsid w:val="00D560C3"/>
    <w:rsid w:val="00D56E95"/>
    <w:rsid w:val="00D6078B"/>
    <w:rsid w:val="00D612B7"/>
    <w:rsid w:val="00D628B9"/>
    <w:rsid w:val="00D64A02"/>
    <w:rsid w:val="00D71DDE"/>
    <w:rsid w:val="00D7667D"/>
    <w:rsid w:val="00D76AA5"/>
    <w:rsid w:val="00D817BF"/>
    <w:rsid w:val="00D819B3"/>
    <w:rsid w:val="00D869A1"/>
    <w:rsid w:val="00D9004B"/>
    <w:rsid w:val="00D905C7"/>
    <w:rsid w:val="00D9110B"/>
    <w:rsid w:val="00D92900"/>
    <w:rsid w:val="00D97EBB"/>
    <w:rsid w:val="00DA413F"/>
    <w:rsid w:val="00DA4584"/>
    <w:rsid w:val="00DA614B"/>
    <w:rsid w:val="00DA6824"/>
    <w:rsid w:val="00DA69D6"/>
    <w:rsid w:val="00DA7330"/>
    <w:rsid w:val="00DB0200"/>
    <w:rsid w:val="00DB0D1F"/>
    <w:rsid w:val="00DB40A3"/>
    <w:rsid w:val="00DB5E73"/>
    <w:rsid w:val="00DC1F43"/>
    <w:rsid w:val="00DC3060"/>
    <w:rsid w:val="00DD11BA"/>
    <w:rsid w:val="00DD2B83"/>
    <w:rsid w:val="00DD4470"/>
    <w:rsid w:val="00DD54A8"/>
    <w:rsid w:val="00DD5B6E"/>
    <w:rsid w:val="00DE041F"/>
    <w:rsid w:val="00DE0FB2"/>
    <w:rsid w:val="00DE2129"/>
    <w:rsid w:val="00DE2F66"/>
    <w:rsid w:val="00DE64FC"/>
    <w:rsid w:val="00DE77AE"/>
    <w:rsid w:val="00DF093E"/>
    <w:rsid w:val="00DF2F9B"/>
    <w:rsid w:val="00DF32F0"/>
    <w:rsid w:val="00DF52FA"/>
    <w:rsid w:val="00DF7086"/>
    <w:rsid w:val="00E001B2"/>
    <w:rsid w:val="00E01F42"/>
    <w:rsid w:val="00E06D4C"/>
    <w:rsid w:val="00E06F6C"/>
    <w:rsid w:val="00E07095"/>
    <w:rsid w:val="00E12EF9"/>
    <w:rsid w:val="00E12F97"/>
    <w:rsid w:val="00E141C6"/>
    <w:rsid w:val="00E155EB"/>
    <w:rsid w:val="00E157FF"/>
    <w:rsid w:val="00E206D6"/>
    <w:rsid w:val="00E26741"/>
    <w:rsid w:val="00E270C4"/>
    <w:rsid w:val="00E3160F"/>
    <w:rsid w:val="00E3307B"/>
    <w:rsid w:val="00E3366E"/>
    <w:rsid w:val="00E3407B"/>
    <w:rsid w:val="00E35E8D"/>
    <w:rsid w:val="00E41699"/>
    <w:rsid w:val="00E421C6"/>
    <w:rsid w:val="00E52086"/>
    <w:rsid w:val="00E543A6"/>
    <w:rsid w:val="00E54487"/>
    <w:rsid w:val="00E54D43"/>
    <w:rsid w:val="00E576E2"/>
    <w:rsid w:val="00E6010D"/>
    <w:rsid w:val="00E60479"/>
    <w:rsid w:val="00E605C7"/>
    <w:rsid w:val="00E61D73"/>
    <w:rsid w:val="00E621B5"/>
    <w:rsid w:val="00E65098"/>
    <w:rsid w:val="00E65C13"/>
    <w:rsid w:val="00E66076"/>
    <w:rsid w:val="00E67CEB"/>
    <w:rsid w:val="00E71D56"/>
    <w:rsid w:val="00E72133"/>
    <w:rsid w:val="00E73684"/>
    <w:rsid w:val="00E818D6"/>
    <w:rsid w:val="00E854A0"/>
    <w:rsid w:val="00E87F7A"/>
    <w:rsid w:val="00E93B26"/>
    <w:rsid w:val="00E94738"/>
    <w:rsid w:val="00E958CD"/>
    <w:rsid w:val="00E96BD7"/>
    <w:rsid w:val="00EA0DB1"/>
    <w:rsid w:val="00EA0EE9"/>
    <w:rsid w:val="00EA4150"/>
    <w:rsid w:val="00EA41DD"/>
    <w:rsid w:val="00EA5469"/>
    <w:rsid w:val="00EA78BE"/>
    <w:rsid w:val="00EA7FF7"/>
    <w:rsid w:val="00EB0341"/>
    <w:rsid w:val="00EB1712"/>
    <w:rsid w:val="00EB1C1E"/>
    <w:rsid w:val="00EB50A5"/>
    <w:rsid w:val="00EB5BD4"/>
    <w:rsid w:val="00EC1411"/>
    <w:rsid w:val="00EC2343"/>
    <w:rsid w:val="00EC7FEC"/>
    <w:rsid w:val="00ED0C64"/>
    <w:rsid w:val="00ED108A"/>
    <w:rsid w:val="00ED1562"/>
    <w:rsid w:val="00ED52CA"/>
    <w:rsid w:val="00ED5860"/>
    <w:rsid w:val="00ED6EBD"/>
    <w:rsid w:val="00EE1B74"/>
    <w:rsid w:val="00EE35C9"/>
    <w:rsid w:val="00EE3D65"/>
    <w:rsid w:val="00EF1CB7"/>
    <w:rsid w:val="00F05ECA"/>
    <w:rsid w:val="00F064F3"/>
    <w:rsid w:val="00F14A3B"/>
    <w:rsid w:val="00F16234"/>
    <w:rsid w:val="00F1786A"/>
    <w:rsid w:val="00F2075E"/>
    <w:rsid w:val="00F24043"/>
    <w:rsid w:val="00F241B0"/>
    <w:rsid w:val="00F24E9E"/>
    <w:rsid w:val="00F30D07"/>
    <w:rsid w:val="00F31660"/>
    <w:rsid w:val="00F3566E"/>
    <w:rsid w:val="00F375FB"/>
    <w:rsid w:val="00F41AC1"/>
    <w:rsid w:val="00F428FA"/>
    <w:rsid w:val="00F431BC"/>
    <w:rsid w:val="00F4367A"/>
    <w:rsid w:val="00F44049"/>
    <w:rsid w:val="00F445B1"/>
    <w:rsid w:val="00F44B49"/>
    <w:rsid w:val="00F4581C"/>
    <w:rsid w:val="00F45CD4"/>
    <w:rsid w:val="00F50D59"/>
    <w:rsid w:val="00F52AB6"/>
    <w:rsid w:val="00F52DDC"/>
    <w:rsid w:val="00F52E15"/>
    <w:rsid w:val="00F5632A"/>
    <w:rsid w:val="00F57A81"/>
    <w:rsid w:val="00F61106"/>
    <w:rsid w:val="00F66812"/>
    <w:rsid w:val="00F66DCA"/>
    <w:rsid w:val="00F71B0E"/>
    <w:rsid w:val="00F74F53"/>
    <w:rsid w:val="00F75549"/>
    <w:rsid w:val="00F7606D"/>
    <w:rsid w:val="00F76CE1"/>
    <w:rsid w:val="00F81670"/>
    <w:rsid w:val="00F82024"/>
    <w:rsid w:val="00F82D52"/>
    <w:rsid w:val="00F866EF"/>
    <w:rsid w:val="00F8741C"/>
    <w:rsid w:val="00F90A12"/>
    <w:rsid w:val="00F95BC9"/>
    <w:rsid w:val="00F96A87"/>
    <w:rsid w:val="00F97C01"/>
    <w:rsid w:val="00FA10A6"/>
    <w:rsid w:val="00FA19F8"/>
    <w:rsid w:val="00FA4A8D"/>
    <w:rsid w:val="00FA624C"/>
    <w:rsid w:val="00FB2971"/>
    <w:rsid w:val="00FB70AC"/>
    <w:rsid w:val="00FC262C"/>
    <w:rsid w:val="00FC4861"/>
    <w:rsid w:val="00FC4CB1"/>
    <w:rsid w:val="00FC7B02"/>
    <w:rsid w:val="00FD0FAC"/>
    <w:rsid w:val="00FD1A21"/>
    <w:rsid w:val="00FD1DFA"/>
    <w:rsid w:val="00FD262F"/>
    <w:rsid w:val="00FD28D5"/>
    <w:rsid w:val="00FD4134"/>
    <w:rsid w:val="00FD4966"/>
    <w:rsid w:val="00FD4A43"/>
    <w:rsid w:val="00FE07FD"/>
    <w:rsid w:val="00FE1E6D"/>
    <w:rsid w:val="00FE35F3"/>
    <w:rsid w:val="00FE36F7"/>
    <w:rsid w:val="00FE3A39"/>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CAA9BD"/>
  <w15:docId w15:val="{D06070B8-134D-4A81-A665-1B65559A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1C391C"/>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21073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450443758">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0394485">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6679969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4846979">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15083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095203759">
      <w:bodyDiv w:val="1"/>
      <w:marLeft w:val="0"/>
      <w:marRight w:val="0"/>
      <w:marTop w:val="0"/>
      <w:marBottom w:val="0"/>
      <w:divBdr>
        <w:top w:val="none" w:sz="0" w:space="0" w:color="auto"/>
        <w:left w:val="none" w:sz="0" w:space="0" w:color="auto"/>
        <w:bottom w:val="none" w:sz="0" w:space="0" w:color="auto"/>
        <w:right w:val="none" w:sz="0" w:space="0" w:color="auto"/>
      </w:divBdr>
    </w:div>
    <w:div w:id="2121685388">
      <w:bodyDiv w:val="1"/>
      <w:marLeft w:val="0"/>
      <w:marRight w:val="0"/>
      <w:marTop w:val="0"/>
      <w:marBottom w:val="0"/>
      <w:divBdr>
        <w:top w:val="none" w:sz="0" w:space="0" w:color="auto"/>
        <w:left w:val="none" w:sz="0" w:space="0" w:color="auto"/>
        <w:bottom w:val="none" w:sz="0" w:space="0" w:color="auto"/>
        <w:right w:val="none" w:sz="0" w:space="0" w:color="auto"/>
      </w:divBdr>
    </w:div>
    <w:div w:id="2131580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ycouncilpages.oxford.gov.uk/ieListDocuments.aspx?CId=527&amp;MId=55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6E75-E234-4505-8B87-EFC01CC7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4DD58109</Template>
  <TotalTime>34</TotalTime>
  <Pages>7</Pages>
  <Words>2457</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HUDSON Tom</cp:lastModifiedBy>
  <cp:revision>3</cp:revision>
  <cp:lastPrinted>2017-08-07T08:36:00Z</cp:lastPrinted>
  <dcterms:created xsi:type="dcterms:W3CDTF">2021-08-26T09:20:00Z</dcterms:created>
  <dcterms:modified xsi:type="dcterms:W3CDTF">2021-08-26T09:54:00Z</dcterms:modified>
</cp:coreProperties>
</file>